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F830A" w14:textId="77777777" w:rsidR="005F48AA" w:rsidRPr="006C015C" w:rsidRDefault="005F48AA" w:rsidP="005F48AA">
      <w:pPr>
        <w:pStyle w:val="NormalWeb"/>
        <w:rPr>
          <w:rFonts w:ascii="Calibri" w:hAnsi="Calibri"/>
          <w:color w:val="000000"/>
          <w:sz w:val="40"/>
          <w:szCs w:val="40"/>
        </w:rPr>
      </w:pPr>
      <w:r w:rsidRPr="006C015C">
        <w:rPr>
          <w:rFonts w:ascii="Calibri" w:hAnsi="Calibri"/>
          <w:color w:val="000000"/>
          <w:sz w:val="40"/>
          <w:szCs w:val="40"/>
        </w:rPr>
        <w:t>NAFSGL Working Group Meeting Minutes</w:t>
      </w:r>
    </w:p>
    <w:p w14:paraId="7552EF45" w14:textId="77777777" w:rsidR="005F48AA" w:rsidRPr="006C015C" w:rsidRDefault="005F48AA" w:rsidP="005F48AA">
      <w:pPr>
        <w:pStyle w:val="NormalWeb"/>
        <w:rPr>
          <w:rFonts w:ascii="Calibri" w:hAnsi="Calibri"/>
          <w:color w:val="808080"/>
          <w:sz w:val="20"/>
          <w:szCs w:val="20"/>
        </w:rPr>
      </w:pPr>
      <w:r w:rsidRPr="006C015C">
        <w:rPr>
          <w:rFonts w:ascii="Calibri" w:hAnsi="Calibri"/>
          <w:color w:val="808080"/>
          <w:sz w:val="20"/>
          <w:szCs w:val="20"/>
        </w:rPr>
        <w:t xml:space="preserve">Thursday, </w:t>
      </w:r>
      <w:r w:rsidR="004D457B" w:rsidRPr="006C015C">
        <w:rPr>
          <w:rFonts w:ascii="Calibri" w:hAnsi="Calibri"/>
          <w:color w:val="808080"/>
          <w:sz w:val="20"/>
          <w:szCs w:val="20"/>
        </w:rPr>
        <w:t>June 18</w:t>
      </w:r>
      <w:r w:rsidRPr="006C015C">
        <w:rPr>
          <w:rFonts w:ascii="Calibri" w:hAnsi="Calibri"/>
          <w:color w:val="808080"/>
          <w:sz w:val="20"/>
          <w:szCs w:val="20"/>
        </w:rPr>
        <w:t>, 2015</w:t>
      </w:r>
    </w:p>
    <w:p w14:paraId="09B225B4" w14:textId="77777777" w:rsidR="005F48AA" w:rsidRPr="006C015C" w:rsidRDefault="005F48AA" w:rsidP="005F48AA">
      <w:pPr>
        <w:pStyle w:val="NormalWeb"/>
        <w:rPr>
          <w:rFonts w:ascii="Calibri" w:hAnsi="Calibri"/>
          <w:color w:val="808080"/>
          <w:sz w:val="20"/>
          <w:szCs w:val="20"/>
        </w:rPr>
      </w:pPr>
      <w:r w:rsidRPr="006C015C">
        <w:rPr>
          <w:rFonts w:ascii="Calibri" w:hAnsi="Calibri"/>
          <w:color w:val="808080"/>
          <w:sz w:val="20"/>
          <w:szCs w:val="20"/>
        </w:rPr>
        <w:t>9:00 AM – 11:</w:t>
      </w:r>
      <w:r w:rsidR="004D457B" w:rsidRPr="006C015C">
        <w:rPr>
          <w:rFonts w:ascii="Calibri" w:hAnsi="Calibri"/>
          <w:color w:val="808080"/>
          <w:sz w:val="20"/>
          <w:szCs w:val="20"/>
        </w:rPr>
        <w:t>30</w:t>
      </w:r>
      <w:r w:rsidRPr="006C015C">
        <w:rPr>
          <w:rFonts w:ascii="Calibri" w:hAnsi="Calibri"/>
          <w:color w:val="808080"/>
          <w:sz w:val="20"/>
          <w:szCs w:val="20"/>
        </w:rPr>
        <w:t xml:space="preserve"> AM</w:t>
      </w:r>
      <w:r w:rsidR="00DE086F" w:rsidRPr="006C015C">
        <w:rPr>
          <w:rFonts w:ascii="Calibri" w:hAnsi="Calibri"/>
          <w:color w:val="808080"/>
          <w:sz w:val="20"/>
          <w:szCs w:val="20"/>
        </w:rPr>
        <w:t xml:space="preserve"> EST</w:t>
      </w:r>
    </w:p>
    <w:p w14:paraId="125D12C8" w14:textId="77777777" w:rsidR="005F48AA" w:rsidRPr="006C015C" w:rsidRDefault="005F48AA" w:rsidP="005F48AA">
      <w:pPr>
        <w:pStyle w:val="NormalWeb"/>
        <w:rPr>
          <w:rFonts w:ascii="Calibri" w:hAnsi="Calibri"/>
          <w:color w:val="808080"/>
          <w:sz w:val="20"/>
          <w:szCs w:val="20"/>
        </w:rPr>
      </w:pPr>
    </w:p>
    <w:p w14:paraId="17A63277" w14:textId="77777777" w:rsidR="005F48AA" w:rsidRPr="006C015C" w:rsidRDefault="005F48AA" w:rsidP="005F48AA">
      <w:pPr>
        <w:pStyle w:val="NormalWeb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C015C">
        <w:rPr>
          <w:rFonts w:ascii="Calibri" w:hAnsi="Calibri"/>
          <w:b/>
          <w:bCs/>
          <w:color w:val="000000"/>
          <w:sz w:val="22"/>
          <w:szCs w:val="22"/>
          <w:u w:val="single"/>
        </w:rPr>
        <w:t>Attendees</w:t>
      </w:r>
    </w:p>
    <w:p w14:paraId="5DEAAE5C" w14:textId="77777777" w:rsidR="005F48AA" w:rsidRPr="006C015C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MC&amp;FP</w:t>
      </w:r>
    </w:p>
    <w:p w14:paraId="0F2FE2EE" w14:textId="77777777" w:rsidR="005F48AA" w:rsidRPr="006C015C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 xml:space="preserve">Mike Kelly, Justin Hall, Mike Curtis </w:t>
      </w:r>
    </w:p>
    <w:p w14:paraId="3B218054" w14:textId="77777777" w:rsidR="00DE086F" w:rsidRPr="006C015C" w:rsidRDefault="00DE086F" w:rsidP="00DE086F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DFAS-Texarkana</w:t>
      </w:r>
    </w:p>
    <w:p w14:paraId="0F44F561" w14:textId="77777777" w:rsidR="00DE086F" w:rsidRPr="006C015C" w:rsidRDefault="00DE086F" w:rsidP="00DE086F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Mitch Covington</w:t>
      </w:r>
    </w:p>
    <w:p w14:paraId="63863C10" w14:textId="77777777" w:rsidR="005F48AA" w:rsidRPr="006C015C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Air Force</w:t>
      </w:r>
      <w:r w:rsidR="00744A76" w:rsidRPr="006C015C">
        <w:rPr>
          <w:rFonts w:ascii="Calibri" w:hAnsi="Calibri"/>
          <w:color w:val="000000"/>
          <w:sz w:val="22"/>
          <w:szCs w:val="22"/>
        </w:rPr>
        <w:t xml:space="preserve"> Services A</w:t>
      </w:r>
      <w:r w:rsidR="00FC32B4" w:rsidRPr="006C015C">
        <w:rPr>
          <w:rFonts w:ascii="Calibri" w:hAnsi="Calibri"/>
          <w:color w:val="000000"/>
          <w:sz w:val="22"/>
          <w:szCs w:val="22"/>
        </w:rPr>
        <w:t>ctivity</w:t>
      </w:r>
      <w:r w:rsidR="00744A76" w:rsidRPr="006C015C" w:rsidDel="00744A76">
        <w:rPr>
          <w:rFonts w:ascii="Calibri" w:hAnsi="Calibri"/>
          <w:color w:val="000000"/>
          <w:sz w:val="22"/>
          <w:szCs w:val="22"/>
        </w:rPr>
        <w:t xml:space="preserve"> </w:t>
      </w:r>
    </w:p>
    <w:p w14:paraId="2FBB2A00" w14:textId="15A42526" w:rsidR="005F48AA" w:rsidRPr="006C015C" w:rsidRDefault="004D457B" w:rsidP="00577197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 xml:space="preserve">Cheryl Basil, </w:t>
      </w:r>
      <w:r w:rsidRPr="00577197">
        <w:rPr>
          <w:rFonts w:ascii="Calibri" w:hAnsi="Calibri"/>
          <w:sz w:val="22"/>
          <w:szCs w:val="22"/>
        </w:rPr>
        <w:t>Jane</w:t>
      </w:r>
      <w:r w:rsidR="00577197" w:rsidRPr="00577197">
        <w:rPr>
          <w:rFonts w:ascii="Calibri" w:hAnsi="Calibri"/>
          <w:sz w:val="22"/>
          <w:szCs w:val="22"/>
        </w:rPr>
        <w:t xml:space="preserve"> Belinfante</w:t>
      </w:r>
    </w:p>
    <w:p w14:paraId="3A4702F7" w14:textId="77777777" w:rsidR="005F48AA" w:rsidRPr="006C015C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Army IMCOM</w:t>
      </w:r>
      <w:r w:rsidR="00744A76" w:rsidRPr="006C015C">
        <w:rPr>
          <w:rFonts w:ascii="Calibri" w:hAnsi="Calibri"/>
          <w:color w:val="000000"/>
          <w:sz w:val="22"/>
          <w:szCs w:val="22"/>
        </w:rPr>
        <w:t xml:space="preserve"> G-9</w:t>
      </w:r>
    </w:p>
    <w:p w14:paraId="514983B6" w14:textId="77777777" w:rsidR="005F48AA" w:rsidRPr="006C015C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Bryan Hartsell, Sonia Daugherty</w:t>
      </w:r>
      <w:r w:rsidR="004D457B" w:rsidRPr="006C015C">
        <w:rPr>
          <w:rFonts w:ascii="Calibri" w:hAnsi="Calibri"/>
          <w:color w:val="000000"/>
          <w:sz w:val="22"/>
          <w:szCs w:val="22"/>
        </w:rPr>
        <w:t xml:space="preserve">, </w:t>
      </w:r>
      <w:r w:rsidR="004D457B" w:rsidRPr="006C015C">
        <w:rPr>
          <w:rFonts w:ascii="Calibri" w:hAnsi="Calibri"/>
          <w:sz w:val="22"/>
          <w:szCs w:val="22"/>
        </w:rPr>
        <w:t>Tina Hudson</w:t>
      </w:r>
    </w:p>
    <w:p w14:paraId="0C4ECFFC" w14:textId="77777777" w:rsidR="005F48AA" w:rsidRPr="006C015C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USMC</w:t>
      </w:r>
      <w:r w:rsidR="00744A76" w:rsidRPr="006C015C">
        <w:rPr>
          <w:rFonts w:ascii="Calibri" w:hAnsi="Calibri"/>
          <w:color w:val="000000"/>
          <w:sz w:val="22"/>
          <w:szCs w:val="22"/>
        </w:rPr>
        <w:t xml:space="preserve"> MCCS</w:t>
      </w:r>
    </w:p>
    <w:p w14:paraId="468DBB7B" w14:textId="77777777" w:rsidR="005F48AA" w:rsidRPr="006C015C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Pat Craddock, Courtney Pulis</w:t>
      </w:r>
    </w:p>
    <w:p w14:paraId="465E3BB8" w14:textId="77777777" w:rsidR="005F48AA" w:rsidRPr="006C015C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Navy CNIC</w:t>
      </w:r>
    </w:p>
    <w:p w14:paraId="2825DA1C" w14:textId="77777777" w:rsidR="005F48AA" w:rsidRPr="006C015C" w:rsidRDefault="004D457B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Robin Bedsole</w:t>
      </w:r>
      <w:r w:rsidR="005F48AA" w:rsidRPr="006C015C">
        <w:rPr>
          <w:rFonts w:ascii="Calibri" w:hAnsi="Calibri"/>
          <w:color w:val="000000"/>
          <w:sz w:val="22"/>
          <w:szCs w:val="22"/>
        </w:rPr>
        <w:t>, Nancy Stephens</w:t>
      </w:r>
    </w:p>
    <w:p w14:paraId="4F2D3CF6" w14:textId="77777777" w:rsidR="005F48AA" w:rsidRPr="006C015C" w:rsidRDefault="005F48AA" w:rsidP="00285CEC">
      <w:pPr>
        <w:pStyle w:val="NormalWeb"/>
        <w:numPr>
          <w:ilvl w:val="0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Grant Thornton</w:t>
      </w:r>
    </w:p>
    <w:p w14:paraId="15888C93" w14:textId="77777777" w:rsidR="005F48AA" w:rsidRPr="006C015C" w:rsidRDefault="005F48AA" w:rsidP="00285CEC">
      <w:pPr>
        <w:pStyle w:val="NormalWeb"/>
        <w:numPr>
          <w:ilvl w:val="1"/>
          <w:numId w:val="11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 xml:space="preserve">Jeremy Blain, Tina Cooper, </w:t>
      </w:r>
      <w:r w:rsidR="004D457B" w:rsidRPr="006C015C">
        <w:rPr>
          <w:rFonts w:ascii="Calibri" w:hAnsi="Calibri"/>
          <w:color w:val="000000"/>
          <w:sz w:val="22"/>
          <w:szCs w:val="22"/>
        </w:rPr>
        <w:t>Sara Carver, Adam Planchock</w:t>
      </w:r>
    </w:p>
    <w:p w14:paraId="3285A9C3" w14:textId="77777777" w:rsidR="00E36C30" w:rsidRPr="006C015C" w:rsidRDefault="00E36C30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14:paraId="4CCE66D2" w14:textId="77777777" w:rsidR="005936B9" w:rsidRPr="006C015C" w:rsidRDefault="00DE086F" w:rsidP="005936B9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6C015C">
        <w:rPr>
          <w:rFonts w:ascii="Calibri" w:hAnsi="Calibri"/>
          <w:b/>
          <w:sz w:val="22"/>
          <w:szCs w:val="22"/>
          <w:u w:val="single"/>
        </w:rPr>
        <w:t xml:space="preserve">Action </w:t>
      </w:r>
      <w:r w:rsidR="005936B9" w:rsidRPr="006C015C">
        <w:rPr>
          <w:rFonts w:ascii="Calibri" w:hAnsi="Calibri"/>
          <w:b/>
          <w:sz w:val="22"/>
          <w:szCs w:val="22"/>
          <w:u w:val="single"/>
        </w:rPr>
        <w:t xml:space="preserve">Items </w:t>
      </w:r>
      <w:r w:rsidRPr="006C015C">
        <w:rPr>
          <w:rFonts w:ascii="Calibri" w:hAnsi="Calibri"/>
          <w:b/>
          <w:sz w:val="22"/>
          <w:szCs w:val="22"/>
          <w:u w:val="single"/>
        </w:rPr>
        <w:t>from Previous Meeting</w:t>
      </w:r>
    </w:p>
    <w:p w14:paraId="254B5CFC" w14:textId="5B65D445" w:rsidR="004D457B" w:rsidRPr="006C015C" w:rsidRDefault="004D457B" w:rsidP="004D457B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b/>
          <w:color w:val="000000"/>
          <w:sz w:val="22"/>
          <w:szCs w:val="22"/>
        </w:rPr>
        <w:t>Grant Thornton</w:t>
      </w:r>
      <w:r w:rsidRPr="006C015C">
        <w:rPr>
          <w:rFonts w:ascii="Calibri" w:hAnsi="Calibri"/>
          <w:color w:val="000000"/>
          <w:sz w:val="22"/>
          <w:szCs w:val="22"/>
        </w:rPr>
        <w:t xml:space="preserve"> to exclude prepaid expenses from the calculation of the acid-test ratio</w:t>
      </w:r>
      <w:r w:rsidR="00D35F23" w:rsidRPr="006C015C">
        <w:rPr>
          <w:rFonts w:ascii="Calibri" w:hAnsi="Calibri"/>
          <w:color w:val="000000"/>
          <w:sz w:val="22"/>
          <w:szCs w:val="22"/>
        </w:rPr>
        <w:t xml:space="preserve">: </w:t>
      </w:r>
      <w:r w:rsidR="00E96E57">
        <w:rPr>
          <w:rFonts w:ascii="Calibri" w:hAnsi="Calibri"/>
          <w:color w:val="000000"/>
          <w:sz w:val="22"/>
          <w:szCs w:val="22"/>
        </w:rPr>
        <w:t>COMPLETED</w:t>
      </w:r>
    </w:p>
    <w:p w14:paraId="573AE917" w14:textId="00AC3487" w:rsidR="004D457B" w:rsidRPr="006C015C" w:rsidRDefault="004D457B" w:rsidP="004D457B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b/>
          <w:color w:val="000000"/>
          <w:sz w:val="22"/>
          <w:szCs w:val="22"/>
        </w:rPr>
        <w:t>Grant Thornton</w:t>
      </w:r>
      <w:r w:rsidRPr="006C015C">
        <w:rPr>
          <w:rFonts w:ascii="Calibri" w:hAnsi="Calibri"/>
          <w:color w:val="000000"/>
          <w:sz w:val="22"/>
          <w:szCs w:val="22"/>
        </w:rPr>
        <w:t xml:space="preserve"> to change useful life recommendation for computer hardware to 2-7 years; change land improvements to 10-25 years: </w:t>
      </w:r>
      <w:r w:rsidR="00E96E57">
        <w:rPr>
          <w:rFonts w:ascii="Calibri" w:hAnsi="Calibri"/>
          <w:color w:val="000000"/>
          <w:sz w:val="22"/>
          <w:szCs w:val="22"/>
        </w:rPr>
        <w:t>COMPLETED</w:t>
      </w:r>
    </w:p>
    <w:p w14:paraId="0A0D0461" w14:textId="4C01ACA6" w:rsidR="004D457B" w:rsidRPr="006C015C" w:rsidRDefault="004D457B" w:rsidP="004D457B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b/>
          <w:color w:val="000000"/>
          <w:sz w:val="22"/>
          <w:szCs w:val="22"/>
        </w:rPr>
        <w:t>Services</w:t>
      </w:r>
      <w:r w:rsidRPr="006C015C">
        <w:rPr>
          <w:rFonts w:ascii="Calibri" w:hAnsi="Calibri"/>
          <w:color w:val="000000"/>
          <w:sz w:val="22"/>
          <w:szCs w:val="22"/>
        </w:rPr>
        <w:t xml:space="preserve"> to send requests and rationale to MC&amp;FP if desire individual acid-test ratio standards for the different business lines: </w:t>
      </w:r>
      <w:r w:rsidR="00E96E57">
        <w:rPr>
          <w:rFonts w:ascii="Calibri" w:hAnsi="Calibri"/>
          <w:color w:val="000000"/>
          <w:sz w:val="22"/>
          <w:szCs w:val="22"/>
        </w:rPr>
        <w:t>COMPLETED</w:t>
      </w:r>
    </w:p>
    <w:p w14:paraId="306DBBBB" w14:textId="4F1F1612" w:rsidR="004D457B" w:rsidRPr="006C015C" w:rsidRDefault="004D457B" w:rsidP="004D457B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b/>
          <w:color w:val="000000"/>
          <w:sz w:val="22"/>
          <w:szCs w:val="22"/>
        </w:rPr>
        <w:t xml:space="preserve">Services </w:t>
      </w:r>
      <w:r w:rsidRPr="006C015C">
        <w:rPr>
          <w:rFonts w:ascii="Calibri" w:hAnsi="Calibri"/>
          <w:color w:val="000000"/>
          <w:sz w:val="22"/>
          <w:szCs w:val="22"/>
        </w:rPr>
        <w:t xml:space="preserve">to look into recommendation for computer hardware and software useful lives as well as land improvements: </w:t>
      </w:r>
      <w:r w:rsidR="00E96E57">
        <w:rPr>
          <w:rFonts w:ascii="Calibri" w:hAnsi="Calibri"/>
          <w:color w:val="000000"/>
          <w:sz w:val="22"/>
          <w:szCs w:val="22"/>
        </w:rPr>
        <w:t>COMPLETED</w:t>
      </w:r>
    </w:p>
    <w:p w14:paraId="7CC7BB23" w14:textId="3A0A4A1A" w:rsidR="004D457B" w:rsidRPr="006C015C" w:rsidRDefault="004D457B" w:rsidP="004D457B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b/>
          <w:color w:val="000000"/>
          <w:sz w:val="22"/>
          <w:szCs w:val="22"/>
        </w:rPr>
        <w:t>Services</w:t>
      </w:r>
      <w:r w:rsidRPr="006C015C">
        <w:rPr>
          <w:rFonts w:ascii="Calibri" w:hAnsi="Calibri"/>
          <w:color w:val="000000"/>
          <w:sz w:val="22"/>
          <w:szCs w:val="22"/>
        </w:rPr>
        <w:t xml:space="preserve"> to review useful lives recommendations in the decision document and report feedback</w:t>
      </w:r>
      <w:r w:rsidR="006C015C">
        <w:rPr>
          <w:rFonts w:ascii="Calibri" w:hAnsi="Calibri"/>
          <w:color w:val="000000"/>
          <w:sz w:val="22"/>
          <w:szCs w:val="22"/>
        </w:rPr>
        <w:t xml:space="preserve">: </w:t>
      </w:r>
      <w:r w:rsidR="00E96E57">
        <w:rPr>
          <w:rFonts w:ascii="Calibri" w:hAnsi="Calibri"/>
          <w:color w:val="000000"/>
          <w:sz w:val="22"/>
          <w:szCs w:val="22"/>
        </w:rPr>
        <w:t>COMPLETED</w:t>
      </w:r>
    </w:p>
    <w:p w14:paraId="1A07B4FC" w14:textId="4D88B97D" w:rsidR="004D457B" w:rsidRPr="00577197" w:rsidRDefault="004D457B" w:rsidP="00812D09">
      <w:pPr>
        <w:pStyle w:val="NormalWeb"/>
        <w:numPr>
          <w:ilvl w:val="0"/>
          <w:numId w:val="13"/>
        </w:numPr>
        <w:rPr>
          <w:rFonts w:ascii="Calibri" w:hAnsi="Calibri"/>
          <w:color w:val="000000"/>
          <w:sz w:val="22"/>
          <w:szCs w:val="22"/>
        </w:rPr>
      </w:pPr>
      <w:r w:rsidRPr="00577197">
        <w:rPr>
          <w:rFonts w:ascii="Calibri" w:hAnsi="Calibri"/>
          <w:b/>
          <w:color w:val="000000"/>
          <w:sz w:val="22"/>
          <w:szCs w:val="22"/>
        </w:rPr>
        <w:t>MC&amp;FP</w:t>
      </w:r>
      <w:r w:rsidRPr="00577197">
        <w:rPr>
          <w:rFonts w:ascii="Calibri" w:hAnsi="Calibri"/>
          <w:color w:val="000000"/>
          <w:sz w:val="22"/>
          <w:szCs w:val="22"/>
        </w:rPr>
        <w:t xml:space="preserve"> will begin to draft an Accounting Standards Board charter that will incorporate the governance items discussed </w:t>
      </w:r>
      <w:r w:rsidR="00955608">
        <w:rPr>
          <w:rFonts w:ascii="Calibri" w:hAnsi="Calibri"/>
          <w:color w:val="000000"/>
          <w:sz w:val="22"/>
          <w:szCs w:val="22"/>
        </w:rPr>
        <w:t xml:space="preserve">in previous </w:t>
      </w:r>
      <w:r w:rsidRPr="00577197">
        <w:rPr>
          <w:rFonts w:ascii="Calibri" w:hAnsi="Calibri"/>
          <w:color w:val="000000"/>
          <w:sz w:val="22"/>
          <w:szCs w:val="22"/>
        </w:rPr>
        <w:t>meeting</w:t>
      </w:r>
      <w:r w:rsidR="00955608">
        <w:rPr>
          <w:rFonts w:ascii="Calibri" w:hAnsi="Calibri"/>
          <w:color w:val="000000"/>
          <w:sz w:val="22"/>
          <w:szCs w:val="22"/>
        </w:rPr>
        <w:t>s</w:t>
      </w:r>
      <w:r w:rsidR="00577197">
        <w:rPr>
          <w:rFonts w:ascii="Calibri" w:hAnsi="Calibri"/>
          <w:color w:val="000000"/>
          <w:sz w:val="22"/>
          <w:szCs w:val="22"/>
        </w:rPr>
        <w:t xml:space="preserve">: </w:t>
      </w:r>
      <w:r w:rsidR="00E96E57">
        <w:rPr>
          <w:rFonts w:ascii="Calibri" w:hAnsi="Calibri"/>
          <w:color w:val="000000"/>
          <w:sz w:val="22"/>
          <w:szCs w:val="22"/>
        </w:rPr>
        <w:t>COMPLETED</w:t>
      </w:r>
    </w:p>
    <w:p w14:paraId="34B6E058" w14:textId="77777777" w:rsidR="005936B9" w:rsidRPr="006C015C" w:rsidRDefault="00DE086F" w:rsidP="005936B9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6C015C">
        <w:rPr>
          <w:rFonts w:ascii="Calibri" w:hAnsi="Calibri"/>
          <w:b/>
          <w:sz w:val="22"/>
          <w:szCs w:val="22"/>
          <w:u w:val="single"/>
        </w:rPr>
        <w:t xml:space="preserve">Action </w:t>
      </w:r>
      <w:r w:rsidR="005936B9" w:rsidRPr="006C015C">
        <w:rPr>
          <w:rFonts w:ascii="Calibri" w:hAnsi="Calibri"/>
          <w:b/>
          <w:sz w:val="22"/>
          <w:szCs w:val="22"/>
          <w:u w:val="single"/>
        </w:rPr>
        <w:t xml:space="preserve">Items Still Open </w:t>
      </w:r>
    </w:p>
    <w:p w14:paraId="66C95DAB" w14:textId="77777777" w:rsidR="005936B9" w:rsidRPr="006C015C" w:rsidRDefault="00DE086F" w:rsidP="005936B9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None</w:t>
      </w:r>
    </w:p>
    <w:p w14:paraId="561B50D2" w14:textId="77777777" w:rsidR="005936B9" w:rsidRPr="006C015C" w:rsidRDefault="005936B9" w:rsidP="005F48AA">
      <w:pPr>
        <w:pStyle w:val="NormalWeb"/>
        <w:rPr>
          <w:rFonts w:ascii="Calibri" w:hAnsi="Calibri"/>
          <w:b/>
          <w:color w:val="FF0000"/>
          <w:sz w:val="22"/>
          <w:szCs w:val="22"/>
          <w:u w:val="single"/>
        </w:rPr>
      </w:pPr>
    </w:p>
    <w:p w14:paraId="70F8711C" w14:textId="77777777" w:rsidR="00E36C30" w:rsidRPr="0016143C" w:rsidRDefault="00E36C30" w:rsidP="005F48AA">
      <w:pPr>
        <w:pStyle w:val="NormalWeb"/>
        <w:rPr>
          <w:rFonts w:ascii="Calibri" w:hAnsi="Calibri"/>
          <w:b/>
          <w:color w:val="FF0000"/>
          <w:sz w:val="22"/>
          <w:szCs w:val="22"/>
          <w:u w:val="single"/>
        </w:rPr>
      </w:pPr>
      <w:r w:rsidRPr="0016143C">
        <w:rPr>
          <w:rFonts w:ascii="Calibri" w:hAnsi="Calibri"/>
          <w:b/>
          <w:color w:val="FF0000"/>
          <w:sz w:val="22"/>
          <w:szCs w:val="22"/>
          <w:u w:val="single"/>
        </w:rPr>
        <w:t>Action Items Summary</w:t>
      </w:r>
    </w:p>
    <w:p w14:paraId="061843CC" w14:textId="77777777" w:rsidR="00E36C30" w:rsidRPr="006C015C" w:rsidRDefault="00E36C30" w:rsidP="005F48AA">
      <w:pPr>
        <w:pStyle w:val="NormalWeb"/>
        <w:rPr>
          <w:rFonts w:ascii="Calibri" w:hAnsi="Calibri"/>
          <w:b/>
          <w:sz w:val="22"/>
          <w:szCs w:val="22"/>
        </w:rPr>
      </w:pPr>
      <w:r w:rsidRPr="006C015C">
        <w:rPr>
          <w:rFonts w:ascii="Calibri" w:hAnsi="Calibri"/>
          <w:b/>
          <w:sz w:val="22"/>
          <w:szCs w:val="22"/>
        </w:rPr>
        <w:t>Grant Thornton</w:t>
      </w:r>
    </w:p>
    <w:p w14:paraId="6BEDB010" w14:textId="77777777" w:rsidR="00741B8E" w:rsidRPr="006C015C" w:rsidRDefault="00E36C30" w:rsidP="00741B8E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 xml:space="preserve">Grant Thornton to </w:t>
      </w:r>
      <w:r w:rsidR="00741B8E" w:rsidRPr="006C015C">
        <w:rPr>
          <w:rFonts w:ascii="Calibri" w:hAnsi="Calibri"/>
          <w:color w:val="000000"/>
          <w:sz w:val="22"/>
          <w:szCs w:val="22"/>
        </w:rPr>
        <w:t>replace the language regarding COGS from shall to may.</w:t>
      </w:r>
    </w:p>
    <w:p w14:paraId="1888568B" w14:textId="77777777" w:rsidR="00741B8E" w:rsidRPr="006C015C" w:rsidRDefault="00741B8E" w:rsidP="00741B8E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Grant Thornton to research pension plans to determine how it should be presented in the financial statement</w:t>
      </w:r>
    </w:p>
    <w:p w14:paraId="416CC85F" w14:textId="77777777" w:rsidR="00741B8E" w:rsidRPr="006C015C" w:rsidRDefault="00741B8E" w:rsidP="00741B8E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Grant Thornton to add an operating expense for Insurance Premiums which will exclude workers compensation</w:t>
      </w:r>
    </w:p>
    <w:p w14:paraId="054FAEFF" w14:textId="77777777" w:rsidR="00741B8E" w:rsidRPr="006C015C" w:rsidRDefault="00741B8E" w:rsidP="00741B8E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Grant Thornton to research commercial practices on handling depreciation as an operating or non-operating expense and provide a recommendation</w:t>
      </w:r>
    </w:p>
    <w:p w14:paraId="5CF90EE1" w14:textId="77777777" w:rsidR="00377DC2" w:rsidRPr="006C015C" w:rsidRDefault="00377DC2" w:rsidP="00377DC2">
      <w:pPr>
        <w:pStyle w:val="NormalWeb"/>
        <w:rPr>
          <w:rFonts w:ascii="Calibri" w:hAnsi="Calibri"/>
          <w:b/>
          <w:color w:val="000000"/>
          <w:sz w:val="22"/>
          <w:szCs w:val="22"/>
        </w:rPr>
      </w:pPr>
      <w:r w:rsidRPr="006C015C">
        <w:rPr>
          <w:rFonts w:ascii="Calibri" w:hAnsi="Calibri"/>
          <w:b/>
          <w:color w:val="000000"/>
          <w:sz w:val="22"/>
          <w:szCs w:val="22"/>
        </w:rPr>
        <w:t>Services</w:t>
      </w:r>
    </w:p>
    <w:p w14:paraId="59BCA7F3" w14:textId="77777777" w:rsidR="00E36C30" w:rsidRPr="006C015C" w:rsidRDefault="00E36C30" w:rsidP="00377DC2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 xml:space="preserve">Services to review </w:t>
      </w:r>
      <w:r w:rsidR="00741B8E" w:rsidRPr="006C015C">
        <w:rPr>
          <w:rFonts w:ascii="Calibri" w:hAnsi="Calibri"/>
          <w:color w:val="000000"/>
          <w:sz w:val="22"/>
          <w:szCs w:val="22"/>
        </w:rPr>
        <w:t>the GLAC Mapping for Financial Statements and provide input</w:t>
      </w:r>
      <w:r w:rsidRPr="006C015C">
        <w:rPr>
          <w:rFonts w:ascii="Calibri" w:hAnsi="Calibri"/>
          <w:color w:val="000000"/>
          <w:sz w:val="22"/>
          <w:szCs w:val="22"/>
        </w:rPr>
        <w:t xml:space="preserve"> </w:t>
      </w:r>
    </w:p>
    <w:p w14:paraId="1941B282" w14:textId="77777777" w:rsidR="005F48AA" w:rsidRPr="006C015C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6C015C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Welcome and Introductions – Mr. Mike Kelly, Director, MWR &amp; Resale Policy</w:t>
      </w:r>
    </w:p>
    <w:p w14:paraId="0869DF60" w14:textId="77777777" w:rsidR="005F48AA" w:rsidRPr="006C015C" w:rsidRDefault="00705787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Thanked all working group members for their effort in this project</w:t>
      </w:r>
    </w:p>
    <w:p w14:paraId="1EB36679" w14:textId="77777777" w:rsidR="005F48AA" w:rsidRPr="006C015C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14:paraId="636EF929" w14:textId="77777777" w:rsidR="005F48AA" w:rsidRPr="006C015C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6C015C">
        <w:rPr>
          <w:rFonts w:ascii="Calibri" w:hAnsi="Calibri"/>
          <w:b/>
          <w:color w:val="000000"/>
          <w:sz w:val="22"/>
          <w:szCs w:val="22"/>
          <w:u w:val="single"/>
        </w:rPr>
        <w:t>OSD Update – Mr. Justin Hall, Assistant Director, MWR &amp; Resale Policy</w:t>
      </w:r>
    </w:p>
    <w:p w14:paraId="3359857E" w14:textId="7D0651A5" w:rsidR="00D35F23" w:rsidRPr="006C015C" w:rsidRDefault="00D35F23" w:rsidP="005F48AA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All the comment</w:t>
      </w:r>
      <w:r w:rsidR="00955608">
        <w:rPr>
          <w:rFonts w:ascii="Calibri" w:hAnsi="Calibri"/>
          <w:color w:val="000000"/>
          <w:sz w:val="22"/>
          <w:szCs w:val="22"/>
        </w:rPr>
        <w:t>s</w:t>
      </w:r>
      <w:r w:rsidRPr="006C015C">
        <w:rPr>
          <w:rFonts w:ascii="Calibri" w:hAnsi="Calibri"/>
          <w:color w:val="000000"/>
          <w:sz w:val="22"/>
          <w:szCs w:val="22"/>
        </w:rPr>
        <w:t xml:space="preserve"> in the NAFSGL package have been adjudicated and it is headed to ASD for signature</w:t>
      </w:r>
    </w:p>
    <w:p w14:paraId="0C630652" w14:textId="2E6C9057" w:rsidR="00705787" w:rsidRPr="006C015C" w:rsidRDefault="00D35F23" w:rsidP="005F48AA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OSD is working the d</w:t>
      </w:r>
      <w:r w:rsidR="00705787" w:rsidRPr="006C015C">
        <w:rPr>
          <w:rFonts w:ascii="Calibri" w:hAnsi="Calibri"/>
          <w:color w:val="000000"/>
          <w:sz w:val="22"/>
          <w:szCs w:val="22"/>
        </w:rPr>
        <w:t xml:space="preserve">raft changes to the DoDI 1015.15 </w:t>
      </w:r>
      <w:r w:rsidRPr="006C015C">
        <w:rPr>
          <w:rFonts w:ascii="Calibri" w:hAnsi="Calibri"/>
          <w:color w:val="000000"/>
          <w:sz w:val="22"/>
          <w:szCs w:val="22"/>
        </w:rPr>
        <w:t>and incorporating the decision document item</w:t>
      </w:r>
      <w:r w:rsidR="00955608">
        <w:rPr>
          <w:rFonts w:ascii="Calibri" w:hAnsi="Calibri"/>
          <w:color w:val="000000"/>
          <w:sz w:val="22"/>
          <w:szCs w:val="22"/>
        </w:rPr>
        <w:t>s. The target is the end of July</w:t>
      </w:r>
    </w:p>
    <w:p w14:paraId="4DF63F92" w14:textId="15EA37B8" w:rsidR="00D35F23" w:rsidRPr="006C015C" w:rsidRDefault="00D35F23" w:rsidP="005F48AA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 xml:space="preserve">Working on getting the </w:t>
      </w:r>
      <w:r w:rsidR="00955608">
        <w:rPr>
          <w:rFonts w:ascii="Calibri" w:hAnsi="Calibri"/>
          <w:color w:val="000000"/>
          <w:sz w:val="22"/>
          <w:szCs w:val="22"/>
        </w:rPr>
        <w:t xml:space="preserve">NAFSGL </w:t>
      </w:r>
      <w:r w:rsidRPr="006C015C">
        <w:rPr>
          <w:rFonts w:ascii="Calibri" w:hAnsi="Calibri"/>
          <w:color w:val="000000"/>
          <w:sz w:val="22"/>
          <w:szCs w:val="22"/>
        </w:rPr>
        <w:t>website platform set up for the documents to be posted</w:t>
      </w:r>
    </w:p>
    <w:p w14:paraId="7AF19E53" w14:textId="77777777" w:rsidR="00DE086F" w:rsidRPr="006C015C" w:rsidRDefault="00DE086F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14:paraId="2253D1A3" w14:textId="77777777" w:rsidR="005F48AA" w:rsidRPr="006C015C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6C015C">
        <w:rPr>
          <w:rFonts w:ascii="Calibri" w:hAnsi="Calibri"/>
          <w:b/>
          <w:color w:val="000000"/>
          <w:sz w:val="22"/>
          <w:szCs w:val="22"/>
          <w:u w:val="single"/>
        </w:rPr>
        <w:t>Initiative Status Update – Mr. Jeremy Blain, Grant Thornton</w:t>
      </w:r>
    </w:p>
    <w:p w14:paraId="049E1AE2" w14:textId="77777777" w:rsidR="000A0807" w:rsidRPr="006C015C" w:rsidRDefault="000A0807" w:rsidP="00D35F23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>Thanked all the working group members for their inputs and communication.</w:t>
      </w:r>
    </w:p>
    <w:p w14:paraId="4079FA36" w14:textId="36E52863" w:rsidR="005F48AA" w:rsidRPr="006C015C" w:rsidRDefault="00D35F23" w:rsidP="00D35F23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 xml:space="preserve">Grant Thornton has excluded prepaid expense from the calculation of the acid-test ratio. </w:t>
      </w:r>
      <w:r w:rsidR="00955608">
        <w:rPr>
          <w:rFonts w:ascii="Calibri" w:hAnsi="Calibri"/>
          <w:color w:val="000000"/>
          <w:sz w:val="22"/>
          <w:szCs w:val="22"/>
        </w:rPr>
        <w:t>GT</w:t>
      </w:r>
      <w:r w:rsidR="000A0807" w:rsidRPr="006C015C">
        <w:rPr>
          <w:rFonts w:ascii="Calibri" w:hAnsi="Calibri"/>
          <w:color w:val="000000"/>
          <w:sz w:val="22"/>
          <w:szCs w:val="22"/>
        </w:rPr>
        <w:t xml:space="preserve"> received lots of inputs on the Acid Test Ratio as well that we have incorporated.</w:t>
      </w:r>
    </w:p>
    <w:p w14:paraId="2280C69B" w14:textId="1357772F" w:rsidR="00D35F23" w:rsidRPr="006C015C" w:rsidRDefault="00D35F23" w:rsidP="00D35F23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 xml:space="preserve">Grant Thornton has changed useful life recommendation for computer hardware to 2-7 years and land improvements to 10-25 years. </w:t>
      </w:r>
      <w:r w:rsidR="00955608">
        <w:rPr>
          <w:rFonts w:ascii="Calibri" w:hAnsi="Calibri"/>
          <w:color w:val="000000"/>
          <w:sz w:val="22"/>
          <w:szCs w:val="22"/>
        </w:rPr>
        <w:t>GT is</w:t>
      </w:r>
      <w:r w:rsidR="000A0807" w:rsidRPr="006C015C">
        <w:rPr>
          <w:rFonts w:ascii="Calibri" w:hAnsi="Calibri"/>
          <w:color w:val="000000"/>
          <w:sz w:val="22"/>
          <w:szCs w:val="22"/>
        </w:rPr>
        <w:t xml:space="preserve"> aware most services provide a 2-5 year range however the proposal is for 2-7 for the OSD standard and all services would still be compliant within the 2-5 years. No objections from any service on the 2-7 useful life for SW/HW. </w:t>
      </w:r>
    </w:p>
    <w:p w14:paraId="414FEBBF" w14:textId="77777777" w:rsidR="005F48AA" w:rsidRPr="006C015C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14:paraId="3213C425" w14:textId="77777777" w:rsidR="000A0807" w:rsidRPr="006C015C" w:rsidRDefault="000A0807" w:rsidP="000A0807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6C015C">
        <w:rPr>
          <w:rFonts w:ascii="Calibri" w:hAnsi="Calibri"/>
          <w:b/>
          <w:color w:val="000000"/>
          <w:sz w:val="22"/>
          <w:szCs w:val="22"/>
          <w:u w:val="single"/>
        </w:rPr>
        <w:t>Potential New General Ledger Accounting Code Additions – Mr. Jeremy Blain / Mr. Stephen Pomager, GT</w:t>
      </w:r>
    </w:p>
    <w:p w14:paraId="3B589D67" w14:textId="77777777" w:rsidR="000A0807" w:rsidRPr="006C015C" w:rsidRDefault="000A0807" w:rsidP="000A0807">
      <w:pPr>
        <w:pStyle w:val="ListParagraph"/>
        <w:numPr>
          <w:ilvl w:val="0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i/>
          <w:color w:val="000000"/>
          <w:szCs w:val="22"/>
        </w:rPr>
        <w:t>Cost of Goods Sold</w:t>
      </w:r>
      <w:r w:rsidRPr="006C015C">
        <w:rPr>
          <w:rFonts w:ascii="Calibri" w:hAnsi="Calibri" w:cs="Times New Roman"/>
          <w:color w:val="000000"/>
          <w:szCs w:val="22"/>
        </w:rPr>
        <w:t xml:space="preserve"> – Add this GLAC to allow for perpetual inventory system.  Will keep Purchases GLAC for periodic inventory system. </w:t>
      </w:r>
    </w:p>
    <w:p w14:paraId="519B49B7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 xml:space="preserve">No concerns from the services. </w:t>
      </w:r>
    </w:p>
    <w:p w14:paraId="4D67CE64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Discussion surrounding COGS as GLAC vs. strictly calculated value. The system can accommodate both methods.</w:t>
      </w:r>
    </w:p>
    <w:p w14:paraId="2265B529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Air Force has been using both for many years and use the same GLAC. They don’t ever use the 502 COGS GLAC.</w:t>
      </w:r>
    </w:p>
    <w:p w14:paraId="32E3AFC6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Marines do not use a COGS GLAC</w:t>
      </w:r>
    </w:p>
    <w:p w14:paraId="63DB1C83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Navy uses periodic inventory system so they will use the GLAC.</w:t>
      </w:r>
    </w:p>
    <w:p w14:paraId="67E1C8C5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b/>
          <w:color w:val="FF0000"/>
          <w:szCs w:val="22"/>
        </w:rPr>
        <w:t>Action Item:</w:t>
      </w:r>
      <w:r w:rsidRPr="006C015C">
        <w:rPr>
          <w:rFonts w:ascii="Calibri" w:hAnsi="Calibri" w:cs="Times New Roman"/>
          <w:color w:val="FF0000"/>
          <w:szCs w:val="22"/>
        </w:rPr>
        <w:t xml:space="preserve"> </w:t>
      </w:r>
      <w:r w:rsidRPr="006C015C">
        <w:rPr>
          <w:rFonts w:ascii="Calibri" w:hAnsi="Calibri" w:cs="Times New Roman"/>
          <w:color w:val="000000"/>
          <w:szCs w:val="22"/>
        </w:rPr>
        <w:t>Grant Thornton to change how 502 is written so it says “may” instead of “will”</w:t>
      </w:r>
    </w:p>
    <w:p w14:paraId="5BE01F15" w14:textId="77777777" w:rsidR="000A0807" w:rsidRPr="006C015C" w:rsidRDefault="000A0807" w:rsidP="000A0807">
      <w:pPr>
        <w:pStyle w:val="ListParagraph"/>
        <w:numPr>
          <w:ilvl w:val="0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i/>
          <w:color w:val="000000"/>
          <w:szCs w:val="22"/>
        </w:rPr>
        <w:t>Grants Income</w:t>
      </w:r>
      <w:r w:rsidRPr="006C015C">
        <w:rPr>
          <w:rFonts w:ascii="Calibri" w:hAnsi="Calibri" w:cs="Times New Roman"/>
          <w:color w:val="000000"/>
          <w:szCs w:val="22"/>
        </w:rPr>
        <w:t xml:space="preserve"> – Currently only have a Grants Expense GLAC.  </w:t>
      </w:r>
    </w:p>
    <w:p w14:paraId="40154996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Navy gives grants to installations from HQ and it</w:t>
      </w:r>
      <w:r w:rsidR="004B0EB8" w:rsidRPr="006C015C">
        <w:rPr>
          <w:rFonts w:ascii="Calibri" w:hAnsi="Calibri" w:cs="Times New Roman"/>
          <w:color w:val="000000"/>
          <w:szCs w:val="22"/>
        </w:rPr>
        <w:t xml:space="preserve"> is counted as operating income. </w:t>
      </w:r>
      <w:r w:rsidRPr="006C015C">
        <w:rPr>
          <w:rFonts w:ascii="Calibri" w:hAnsi="Calibri" w:cs="Times New Roman"/>
          <w:color w:val="000000"/>
          <w:szCs w:val="22"/>
        </w:rPr>
        <w:t xml:space="preserve"> No grants are received from outside entities (they would be considered “other income” in most cases; donations)</w:t>
      </w:r>
      <w:r w:rsidR="004B0EB8" w:rsidRPr="006C015C">
        <w:rPr>
          <w:rFonts w:ascii="Calibri" w:hAnsi="Calibri" w:cs="Times New Roman"/>
          <w:color w:val="000000"/>
          <w:szCs w:val="22"/>
        </w:rPr>
        <w:t>.</w:t>
      </w:r>
    </w:p>
    <w:p w14:paraId="0BB4DAFC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 xml:space="preserve">Army uses </w:t>
      </w:r>
      <w:r w:rsidR="004B0EB8" w:rsidRPr="006C015C">
        <w:rPr>
          <w:rFonts w:ascii="Calibri" w:hAnsi="Calibri" w:cs="Times New Roman"/>
          <w:color w:val="000000"/>
          <w:szCs w:val="22"/>
        </w:rPr>
        <w:t>similar</w:t>
      </w:r>
      <w:r w:rsidRPr="006C015C">
        <w:rPr>
          <w:rFonts w:ascii="Calibri" w:hAnsi="Calibri" w:cs="Times New Roman"/>
          <w:color w:val="000000"/>
          <w:szCs w:val="22"/>
        </w:rPr>
        <w:t xml:space="preserve"> treatment as Navy </w:t>
      </w:r>
      <w:r w:rsidR="004B0EB8" w:rsidRPr="006C015C">
        <w:rPr>
          <w:rFonts w:ascii="Calibri" w:hAnsi="Calibri" w:cs="Times New Roman"/>
          <w:color w:val="000000"/>
          <w:szCs w:val="22"/>
        </w:rPr>
        <w:t>but</w:t>
      </w:r>
      <w:r w:rsidRPr="006C015C">
        <w:rPr>
          <w:rFonts w:ascii="Calibri" w:hAnsi="Calibri" w:cs="Times New Roman"/>
          <w:color w:val="000000"/>
          <w:szCs w:val="22"/>
        </w:rPr>
        <w:t xml:space="preserve"> has grants as </w:t>
      </w:r>
      <w:r w:rsidR="004B0EB8" w:rsidRPr="006C015C">
        <w:rPr>
          <w:rFonts w:ascii="Calibri" w:hAnsi="Calibri" w:cs="Times New Roman"/>
          <w:color w:val="000000"/>
          <w:szCs w:val="22"/>
        </w:rPr>
        <w:t>non-</w:t>
      </w:r>
      <w:r w:rsidRPr="006C015C">
        <w:rPr>
          <w:rFonts w:ascii="Calibri" w:hAnsi="Calibri" w:cs="Times New Roman"/>
          <w:color w:val="000000"/>
          <w:szCs w:val="22"/>
        </w:rPr>
        <w:t>operating income.</w:t>
      </w:r>
    </w:p>
    <w:p w14:paraId="3441A0B5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Air Force counts it as non-operating income because no one did anything to earn the money</w:t>
      </w:r>
      <w:r w:rsidR="00BA291B" w:rsidRPr="006C015C">
        <w:rPr>
          <w:rFonts w:ascii="Calibri" w:hAnsi="Calibri" w:cs="Times New Roman"/>
          <w:color w:val="000000"/>
          <w:szCs w:val="22"/>
        </w:rPr>
        <w:t>.</w:t>
      </w:r>
    </w:p>
    <w:p w14:paraId="54BF0B35" w14:textId="77777777" w:rsidR="00BA7556" w:rsidRPr="006C015C" w:rsidRDefault="00BA7556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USMC agrees it would be considered non-operating incom</w:t>
      </w:r>
      <w:r w:rsidR="004B0EB8" w:rsidRPr="006C015C">
        <w:rPr>
          <w:rFonts w:ascii="Calibri" w:hAnsi="Calibri" w:cs="Times New Roman"/>
          <w:color w:val="000000"/>
          <w:szCs w:val="22"/>
        </w:rPr>
        <w:t>e</w:t>
      </w:r>
      <w:r w:rsidRPr="006C015C">
        <w:rPr>
          <w:rFonts w:ascii="Calibri" w:hAnsi="Calibri" w:cs="Times New Roman"/>
          <w:color w:val="000000"/>
          <w:szCs w:val="22"/>
        </w:rPr>
        <w:t xml:space="preserve"> because it is not generated from activity</w:t>
      </w:r>
      <w:r w:rsidR="00BA291B" w:rsidRPr="006C015C">
        <w:rPr>
          <w:rFonts w:ascii="Calibri" w:hAnsi="Calibri" w:cs="Times New Roman"/>
          <w:color w:val="000000"/>
          <w:szCs w:val="22"/>
        </w:rPr>
        <w:t>.</w:t>
      </w:r>
      <w:r w:rsidRPr="006C015C">
        <w:rPr>
          <w:rFonts w:ascii="Calibri" w:hAnsi="Calibri" w:cs="Times New Roman"/>
          <w:color w:val="000000"/>
          <w:szCs w:val="22"/>
        </w:rPr>
        <w:t xml:space="preserve"> </w:t>
      </w:r>
    </w:p>
    <w:p w14:paraId="401DC6B9" w14:textId="77777777" w:rsidR="00BA291B" w:rsidRPr="006C015C" w:rsidRDefault="00BA291B" w:rsidP="00BA7556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 xml:space="preserve">Everyone agrees this should be in the non-operating income. </w:t>
      </w:r>
    </w:p>
    <w:p w14:paraId="515D7236" w14:textId="77777777" w:rsidR="000A0807" w:rsidRPr="006C015C" w:rsidRDefault="000A0807" w:rsidP="000A0807">
      <w:pPr>
        <w:pStyle w:val="ListParagraph"/>
        <w:numPr>
          <w:ilvl w:val="0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i/>
          <w:color w:val="000000"/>
          <w:szCs w:val="22"/>
        </w:rPr>
        <w:t>Pension Plan Assets</w:t>
      </w:r>
      <w:r w:rsidRPr="006C015C">
        <w:rPr>
          <w:rFonts w:ascii="Calibri" w:hAnsi="Calibri" w:cs="Times New Roman"/>
          <w:color w:val="000000"/>
          <w:szCs w:val="22"/>
        </w:rPr>
        <w:t xml:space="preserve"> – FMR Income Statement has a line for the difference when the Pension Plan Assets are greater than the Plan Benefit Obligation. There is no GLAC for Pension Plan Assets.</w:t>
      </w:r>
    </w:p>
    <w:p w14:paraId="08F354A4" w14:textId="77777777" w:rsidR="00BA291B" w:rsidRPr="006C015C" w:rsidRDefault="006662E2" w:rsidP="00BA291B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It would balance out the GLACs by adding the pension assets. FMR: stays on balance sheet but doesn’t impact the balance sheet as much</w:t>
      </w:r>
    </w:p>
    <w:p w14:paraId="7A02D4F1" w14:textId="195BAA71" w:rsidR="006662E2" w:rsidRPr="006C015C" w:rsidRDefault="006662E2" w:rsidP="00BA291B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lastRenderedPageBreak/>
        <w:t xml:space="preserve">DFAS (Army) does not do any pension accounting (IMCOM G9 </w:t>
      </w:r>
      <w:r w:rsidR="00955608">
        <w:rPr>
          <w:rFonts w:ascii="Calibri" w:hAnsi="Calibri" w:cs="Times New Roman"/>
          <w:color w:val="000000"/>
          <w:szCs w:val="22"/>
        </w:rPr>
        <w:t>does the accounting for pensions</w:t>
      </w:r>
      <w:r w:rsidRPr="006C015C">
        <w:rPr>
          <w:rFonts w:ascii="Calibri" w:hAnsi="Calibri" w:cs="Times New Roman"/>
          <w:color w:val="000000"/>
          <w:szCs w:val="22"/>
        </w:rPr>
        <w:t>)</w:t>
      </w:r>
    </w:p>
    <w:p w14:paraId="59B018AF" w14:textId="77777777" w:rsidR="006662E2" w:rsidRPr="006C015C" w:rsidRDefault="006662E2" w:rsidP="00BA291B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Navy can have either a positive or negative balance depending on how they need to make things balance. They are not opposed to having a GLAC on the assets side as well. They just do a yearly true up after they get the actuarial report. Air Force and Army do the same.</w:t>
      </w:r>
    </w:p>
    <w:p w14:paraId="53AFEA95" w14:textId="38325DCC" w:rsidR="006662E2" w:rsidRPr="006C015C" w:rsidRDefault="006662E2" w:rsidP="00BA291B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USMC has a multi-employer plan. They get an actuarial report at year end but they do</w:t>
      </w:r>
      <w:r w:rsidR="00A37B9C">
        <w:rPr>
          <w:rFonts w:ascii="Calibri" w:hAnsi="Calibri" w:cs="Times New Roman"/>
          <w:color w:val="000000"/>
          <w:szCs w:val="22"/>
        </w:rPr>
        <w:t>n</w:t>
      </w:r>
      <w:r w:rsidRPr="006C015C">
        <w:rPr>
          <w:rFonts w:ascii="Calibri" w:hAnsi="Calibri" w:cs="Times New Roman"/>
          <w:color w:val="000000"/>
          <w:szCs w:val="22"/>
        </w:rPr>
        <w:t xml:space="preserve">’t have to do the true up. </w:t>
      </w:r>
    </w:p>
    <w:p w14:paraId="1EC73D62" w14:textId="77777777" w:rsidR="006662E2" w:rsidRPr="006C015C" w:rsidRDefault="006662E2" w:rsidP="00BA291B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b/>
          <w:color w:val="FF0000"/>
          <w:szCs w:val="22"/>
        </w:rPr>
        <w:t>Action Item:</w:t>
      </w:r>
      <w:r w:rsidRPr="006C015C">
        <w:rPr>
          <w:rFonts w:ascii="Calibri" w:hAnsi="Calibri" w:cs="Times New Roman"/>
          <w:color w:val="FF0000"/>
          <w:szCs w:val="22"/>
        </w:rPr>
        <w:t xml:space="preserve"> </w:t>
      </w:r>
      <w:r w:rsidRPr="006C015C">
        <w:rPr>
          <w:rFonts w:ascii="Calibri" w:hAnsi="Calibri" w:cs="Times New Roman"/>
          <w:color w:val="000000"/>
          <w:szCs w:val="22"/>
        </w:rPr>
        <w:t>what is the best practice industry from a financial statement presentation perspective? Is it 2 GLACs?</w:t>
      </w:r>
    </w:p>
    <w:p w14:paraId="5C8A979D" w14:textId="77777777" w:rsidR="000A0807" w:rsidRPr="006C015C" w:rsidRDefault="000A0807" w:rsidP="000A0807">
      <w:pPr>
        <w:pStyle w:val="ListParagraph"/>
        <w:numPr>
          <w:ilvl w:val="0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i/>
          <w:color w:val="000000"/>
          <w:szCs w:val="22"/>
        </w:rPr>
        <w:t>Business Insurance</w:t>
      </w:r>
      <w:r w:rsidRPr="006C015C">
        <w:rPr>
          <w:rFonts w:ascii="Calibri" w:hAnsi="Calibri" w:cs="Times New Roman"/>
          <w:color w:val="000000"/>
          <w:szCs w:val="22"/>
        </w:rPr>
        <w:t xml:space="preserve"> – Currently only a GLAC for Employee Insurance Expense</w:t>
      </w:r>
    </w:p>
    <w:p w14:paraId="4BE75905" w14:textId="6CA66C04" w:rsidR="006662E2" w:rsidRPr="006C015C" w:rsidRDefault="006662E2" w:rsidP="006662E2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USMC records this as an operating expense within insurance accounts broken up into three categories: property, general liability</w:t>
      </w:r>
      <w:r w:rsidR="00955608">
        <w:rPr>
          <w:rFonts w:ascii="Calibri" w:hAnsi="Calibri" w:cs="Times New Roman"/>
          <w:color w:val="000000"/>
          <w:szCs w:val="22"/>
        </w:rPr>
        <w:t>,</w:t>
      </w:r>
      <w:r w:rsidRPr="006C015C">
        <w:rPr>
          <w:rFonts w:ascii="Calibri" w:hAnsi="Calibri" w:cs="Times New Roman"/>
          <w:color w:val="000000"/>
          <w:szCs w:val="22"/>
        </w:rPr>
        <w:t xml:space="preserve"> and workers compensation.</w:t>
      </w:r>
    </w:p>
    <w:p w14:paraId="054EFFBE" w14:textId="77777777" w:rsidR="006662E2" w:rsidRPr="006C015C" w:rsidRDefault="005858E4" w:rsidP="006662E2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Army has</w:t>
      </w:r>
      <w:r w:rsidR="006662E2" w:rsidRPr="006C015C">
        <w:rPr>
          <w:rFonts w:ascii="Calibri" w:hAnsi="Calibri" w:cs="Times New Roman"/>
          <w:color w:val="000000"/>
          <w:szCs w:val="22"/>
        </w:rPr>
        <w:t xml:space="preserve"> a workers comp</w:t>
      </w:r>
      <w:r w:rsidRPr="006C015C">
        <w:rPr>
          <w:rFonts w:ascii="Calibri" w:hAnsi="Calibri" w:cs="Times New Roman"/>
          <w:color w:val="000000"/>
          <w:szCs w:val="22"/>
        </w:rPr>
        <w:t>ensation expense</w:t>
      </w:r>
      <w:r w:rsidR="006662E2" w:rsidRPr="006C015C">
        <w:rPr>
          <w:rFonts w:ascii="Calibri" w:hAnsi="Calibri" w:cs="Times New Roman"/>
          <w:color w:val="000000"/>
          <w:szCs w:val="22"/>
        </w:rPr>
        <w:t xml:space="preserve"> (labor GLAC) and a standard insurance premium expense that is recorded. The operating </w:t>
      </w:r>
      <w:r w:rsidRPr="006C015C">
        <w:rPr>
          <w:rFonts w:ascii="Calibri" w:hAnsi="Calibri" w:cs="Times New Roman"/>
          <w:color w:val="000000"/>
          <w:szCs w:val="22"/>
        </w:rPr>
        <w:t>entity</w:t>
      </w:r>
      <w:r w:rsidR="006662E2" w:rsidRPr="006C015C">
        <w:rPr>
          <w:rFonts w:ascii="Calibri" w:hAnsi="Calibri" w:cs="Times New Roman"/>
          <w:color w:val="000000"/>
          <w:szCs w:val="22"/>
        </w:rPr>
        <w:t xml:space="preserve"> is paying </w:t>
      </w:r>
      <w:r w:rsidRPr="006C015C">
        <w:rPr>
          <w:rFonts w:ascii="Calibri" w:hAnsi="Calibri" w:cs="Times New Roman"/>
          <w:color w:val="000000"/>
          <w:szCs w:val="22"/>
        </w:rPr>
        <w:t>them for the actual insurance. On the insurance side, they have a separate fund for insurance that includes four types.</w:t>
      </w:r>
    </w:p>
    <w:p w14:paraId="42B5D738" w14:textId="77777777" w:rsidR="006662E2" w:rsidRPr="006C015C" w:rsidRDefault="006662E2" w:rsidP="006662E2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Air Force has one GLAC</w:t>
      </w:r>
      <w:r w:rsidR="005858E4" w:rsidRPr="006C015C">
        <w:rPr>
          <w:rFonts w:ascii="Calibri" w:hAnsi="Calibri" w:cs="Times New Roman"/>
          <w:color w:val="000000"/>
          <w:szCs w:val="22"/>
        </w:rPr>
        <w:t xml:space="preserve"> called “I</w:t>
      </w:r>
      <w:r w:rsidRPr="006C015C">
        <w:rPr>
          <w:rFonts w:ascii="Calibri" w:hAnsi="Calibri" w:cs="Times New Roman"/>
          <w:color w:val="000000"/>
          <w:szCs w:val="22"/>
        </w:rPr>
        <w:t>nsurance</w:t>
      </w:r>
      <w:r w:rsidR="005858E4" w:rsidRPr="006C015C">
        <w:rPr>
          <w:rFonts w:ascii="Calibri" w:hAnsi="Calibri" w:cs="Times New Roman"/>
          <w:color w:val="000000"/>
          <w:szCs w:val="22"/>
        </w:rPr>
        <w:t>”</w:t>
      </w:r>
      <w:r w:rsidRPr="006C015C">
        <w:rPr>
          <w:rFonts w:ascii="Calibri" w:hAnsi="Calibri" w:cs="Times New Roman"/>
          <w:color w:val="000000"/>
          <w:szCs w:val="22"/>
        </w:rPr>
        <w:t xml:space="preserve"> that bases use because they charge them a premium each month. </w:t>
      </w:r>
      <w:r w:rsidR="005858E4" w:rsidRPr="006C015C">
        <w:rPr>
          <w:rFonts w:ascii="Calibri" w:hAnsi="Calibri" w:cs="Times New Roman"/>
          <w:color w:val="000000"/>
          <w:szCs w:val="22"/>
        </w:rPr>
        <w:t>It flows through payroll because of retiree and employee life and health insurances. They are on the central fund side. For the self-insurance side (bases, buildings, etc.,), they just have one GLAC for insurance.</w:t>
      </w:r>
    </w:p>
    <w:p w14:paraId="550E45DA" w14:textId="77777777" w:rsidR="006662E2" w:rsidRPr="006C015C" w:rsidRDefault="006662E2" w:rsidP="006662E2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color w:val="000000"/>
          <w:szCs w:val="22"/>
        </w:rPr>
        <w:t>Navy uses an account called p</w:t>
      </w:r>
      <w:r w:rsidR="005858E4" w:rsidRPr="006C015C">
        <w:rPr>
          <w:rFonts w:ascii="Calibri" w:hAnsi="Calibri" w:cs="Times New Roman"/>
          <w:color w:val="000000"/>
          <w:szCs w:val="22"/>
        </w:rPr>
        <w:t xml:space="preserve">roperty liability insurance. Workers comp is carried with payroll. </w:t>
      </w:r>
    </w:p>
    <w:p w14:paraId="1F9A931D" w14:textId="52FA555A" w:rsidR="006662E2" w:rsidRPr="006C015C" w:rsidRDefault="006662E2" w:rsidP="006662E2">
      <w:pPr>
        <w:pStyle w:val="ListParagraph"/>
        <w:numPr>
          <w:ilvl w:val="1"/>
          <w:numId w:val="16"/>
        </w:numPr>
        <w:contextualSpacing w:val="0"/>
        <w:rPr>
          <w:rFonts w:ascii="Calibri" w:hAnsi="Calibri" w:cs="Times New Roman"/>
          <w:color w:val="000000"/>
          <w:szCs w:val="22"/>
        </w:rPr>
      </w:pPr>
      <w:r w:rsidRPr="006C015C">
        <w:rPr>
          <w:rFonts w:ascii="Calibri" w:hAnsi="Calibri" w:cs="Times New Roman"/>
          <w:b/>
          <w:color w:val="FF0000"/>
          <w:szCs w:val="22"/>
        </w:rPr>
        <w:t>Action Item:</w:t>
      </w:r>
      <w:r w:rsidRPr="006C015C">
        <w:rPr>
          <w:rFonts w:ascii="Calibri" w:hAnsi="Calibri" w:cs="Times New Roman"/>
          <w:color w:val="FF0000"/>
          <w:szCs w:val="22"/>
        </w:rPr>
        <w:t xml:space="preserve"> </w:t>
      </w:r>
      <w:r w:rsidRPr="006C015C">
        <w:rPr>
          <w:rFonts w:ascii="Calibri" w:hAnsi="Calibri" w:cs="Times New Roman"/>
          <w:color w:val="000000"/>
          <w:szCs w:val="22"/>
        </w:rPr>
        <w:t xml:space="preserve">Add a GLAC called “Insurance Premium Expense” and </w:t>
      </w:r>
      <w:r w:rsidR="005858E4" w:rsidRPr="006C015C">
        <w:rPr>
          <w:rFonts w:ascii="Calibri" w:hAnsi="Calibri" w:cs="Times New Roman"/>
          <w:color w:val="000000"/>
          <w:szCs w:val="22"/>
        </w:rPr>
        <w:t xml:space="preserve">let the </w:t>
      </w:r>
      <w:r w:rsidRPr="006C015C">
        <w:rPr>
          <w:rFonts w:ascii="Calibri" w:hAnsi="Calibri" w:cs="Times New Roman"/>
          <w:color w:val="000000"/>
          <w:szCs w:val="22"/>
        </w:rPr>
        <w:t xml:space="preserve">services </w:t>
      </w:r>
      <w:r w:rsidR="007F348B">
        <w:rPr>
          <w:rFonts w:ascii="Calibri" w:hAnsi="Calibri" w:cs="Times New Roman"/>
          <w:color w:val="000000"/>
          <w:szCs w:val="22"/>
        </w:rPr>
        <w:t>use the Service-specific digits in the GLAC string</w:t>
      </w:r>
      <w:r w:rsidR="005858E4" w:rsidRPr="006C015C">
        <w:rPr>
          <w:rFonts w:ascii="Calibri" w:hAnsi="Calibri" w:cs="Times New Roman"/>
          <w:color w:val="000000"/>
          <w:szCs w:val="22"/>
        </w:rPr>
        <w:t xml:space="preserve"> to specify</w:t>
      </w:r>
      <w:r w:rsidRPr="006C015C">
        <w:rPr>
          <w:rFonts w:ascii="Calibri" w:hAnsi="Calibri" w:cs="Times New Roman"/>
          <w:color w:val="000000"/>
          <w:szCs w:val="22"/>
        </w:rPr>
        <w:t xml:space="preserve"> </w:t>
      </w:r>
      <w:r w:rsidR="005858E4" w:rsidRPr="006C015C">
        <w:rPr>
          <w:rFonts w:ascii="Calibri" w:hAnsi="Calibri" w:cs="Times New Roman"/>
          <w:color w:val="000000"/>
          <w:szCs w:val="22"/>
        </w:rPr>
        <w:t>the different types excluding</w:t>
      </w:r>
      <w:r w:rsidRPr="006C015C">
        <w:rPr>
          <w:rFonts w:ascii="Calibri" w:hAnsi="Calibri" w:cs="Times New Roman"/>
          <w:color w:val="000000"/>
          <w:szCs w:val="22"/>
        </w:rPr>
        <w:t xml:space="preserve"> workers compensation.</w:t>
      </w:r>
    </w:p>
    <w:p w14:paraId="17F5DD35" w14:textId="77777777" w:rsidR="003B3CE5" w:rsidRPr="006C015C" w:rsidRDefault="003B3CE5" w:rsidP="003B3CE5">
      <w:pPr>
        <w:pStyle w:val="NormalWeb"/>
        <w:rPr>
          <w:rFonts w:ascii="Calibri" w:hAnsi="Calibri"/>
          <w:color w:val="000000"/>
          <w:sz w:val="22"/>
          <w:szCs w:val="22"/>
        </w:rPr>
      </w:pPr>
    </w:p>
    <w:p w14:paraId="4E33F9DE" w14:textId="77777777" w:rsidR="005858E4" w:rsidRPr="006C015C" w:rsidRDefault="005858E4" w:rsidP="005858E4">
      <w:pPr>
        <w:rPr>
          <w:rFonts w:ascii="Calibri" w:hAnsi="Calibri" w:cs="Times New Roman"/>
          <w:b/>
          <w:color w:val="000000"/>
          <w:szCs w:val="22"/>
          <w:u w:val="single"/>
        </w:rPr>
      </w:pPr>
      <w:r w:rsidRPr="006C015C">
        <w:rPr>
          <w:rFonts w:ascii="Calibri" w:hAnsi="Calibri" w:cs="Times New Roman"/>
          <w:b/>
          <w:color w:val="000000"/>
          <w:szCs w:val="22"/>
          <w:u w:val="single"/>
        </w:rPr>
        <w:t>Accounting Policy Standardization Update – Mr. Jeremy Blain / Mr. Stephen Pomager, GT</w:t>
      </w:r>
    </w:p>
    <w:p w14:paraId="3B059BA8" w14:textId="77777777" w:rsidR="005858E4" w:rsidRPr="006C015C" w:rsidRDefault="005858E4" w:rsidP="005858E4">
      <w:pPr>
        <w:pStyle w:val="ListParagraph"/>
        <w:numPr>
          <w:ilvl w:val="0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/>
          <w:iCs/>
        </w:rPr>
        <w:t>Severance Benefit as a Contingent Liability</w:t>
      </w:r>
      <w:r w:rsidRPr="006C015C">
        <w:rPr>
          <w:rFonts w:ascii="Calibri" w:hAnsi="Calibri"/>
          <w:iCs/>
        </w:rPr>
        <w:t xml:space="preserve"> – How to accrue and when to recognize non-BRAC base closures</w:t>
      </w:r>
    </w:p>
    <w:p w14:paraId="613145FC" w14:textId="1C92C4FC" w:rsidR="005858E4" w:rsidRPr="006C015C" w:rsidRDefault="00741F22" w:rsidP="005858E4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577197">
        <w:rPr>
          <w:rFonts w:ascii="Calibri" w:hAnsi="Calibri"/>
          <w:iCs/>
        </w:rPr>
        <w:t xml:space="preserve">The Air Force </w:t>
      </w:r>
      <w:r w:rsidRPr="006C015C">
        <w:rPr>
          <w:rFonts w:ascii="Calibri" w:hAnsi="Calibri"/>
          <w:iCs/>
        </w:rPr>
        <w:t>has a number of locations in Europe that are closing. Because</w:t>
      </w:r>
      <w:r w:rsidR="005858E4" w:rsidRPr="006C015C">
        <w:rPr>
          <w:rFonts w:ascii="Calibri" w:hAnsi="Calibri"/>
          <w:iCs/>
        </w:rPr>
        <w:t xml:space="preserve"> these closures don’t fall under C</w:t>
      </w:r>
      <w:r w:rsidRPr="006C015C">
        <w:rPr>
          <w:rFonts w:ascii="Calibri" w:hAnsi="Calibri"/>
          <w:iCs/>
        </w:rPr>
        <w:t>ongressional Law/</w:t>
      </w:r>
      <w:r w:rsidR="005858E4" w:rsidRPr="006C015C">
        <w:rPr>
          <w:rFonts w:ascii="Calibri" w:hAnsi="Calibri"/>
          <w:iCs/>
        </w:rPr>
        <w:t>BRAC</w:t>
      </w:r>
      <w:r w:rsidRPr="006C015C">
        <w:rPr>
          <w:rFonts w:ascii="Calibri" w:hAnsi="Calibri"/>
          <w:iCs/>
        </w:rPr>
        <w:t xml:space="preserve">, </w:t>
      </w:r>
      <w:r w:rsidR="005858E4" w:rsidRPr="006C015C">
        <w:rPr>
          <w:rFonts w:ascii="Calibri" w:hAnsi="Calibri"/>
          <w:iCs/>
        </w:rPr>
        <w:t>they are not authorized APF funds and they have directed them to go to DOD for a waiver in order to ge</w:t>
      </w:r>
      <w:r w:rsidR="00955608">
        <w:rPr>
          <w:rFonts w:ascii="Calibri" w:hAnsi="Calibri"/>
          <w:iCs/>
        </w:rPr>
        <w:t>t APF funding for the severance</w:t>
      </w:r>
      <w:r w:rsidRPr="006C015C">
        <w:rPr>
          <w:rFonts w:ascii="Calibri" w:hAnsi="Calibri"/>
          <w:iCs/>
        </w:rPr>
        <w:t xml:space="preserve">. </w:t>
      </w:r>
      <w:r w:rsidR="00955608">
        <w:rPr>
          <w:rFonts w:ascii="Calibri" w:hAnsi="Calibri"/>
          <w:iCs/>
        </w:rPr>
        <w:t>According to Air Force, this may significantly impact</w:t>
      </w:r>
      <w:r w:rsidRPr="006C015C">
        <w:rPr>
          <w:rFonts w:ascii="Calibri" w:hAnsi="Calibri"/>
          <w:iCs/>
        </w:rPr>
        <w:t xml:space="preserve"> the NAF/MWR side as they need APF support to pay severance. OSD needs to know that AF plans to put APF dollars behind that request for the waiver.</w:t>
      </w:r>
    </w:p>
    <w:p w14:paraId="3A56B91A" w14:textId="0A4DFEBA" w:rsidR="00741F22" w:rsidRPr="006C015C" w:rsidRDefault="00741F22" w:rsidP="00150206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 xml:space="preserve">The Army has an authorized group where all </w:t>
      </w:r>
      <w:r w:rsidR="007F348B">
        <w:rPr>
          <w:rFonts w:ascii="Calibri" w:hAnsi="Calibri"/>
          <w:iCs/>
        </w:rPr>
        <w:t xml:space="preserve">of that labor funding </w:t>
      </w:r>
      <w:r w:rsidR="00AB48D9">
        <w:rPr>
          <w:rFonts w:ascii="Calibri" w:hAnsi="Calibri"/>
          <w:iCs/>
        </w:rPr>
        <w:t>comes</w:t>
      </w:r>
      <w:r w:rsidR="007F348B">
        <w:rPr>
          <w:rFonts w:ascii="Calibri" w:hAnsi="Calibri"/>
          <w:iCs/>
        </w:rPr>
        <w:t xml:space="preserve"> from the appropriated fund (APF) budgeting process </w:t>
      </w:r>
      <w:r w:rsidRPr="006C015C">
        <w:rPr>
          <w:rFonts w:ascii="Calibri" w:hAnsi="Calibri"/>
          <w:iCs/>
        </w:rPr>
        <w:t xml:space="preserve">through the UFM process. As they accrue that cost, it is </w:t>
      </w:r>
      <w:r w:rsidR="005858E4" w:rsidRPr="006C015C">
        <w:rPr>
          <w:rFonts w:ascii="Calibri" w:hAnsi="Calibri"/>
          <w:iCs/>
        </w:rPr>
        <w:t xml:space="preserve">all part of standard labor cost through time and paid for with APF funds which comes out </w:t>
      </w:r>
      <w:r w:rsidRPr="006C015C">
        <w:rPr>
          <w:rFonts w:ascii="Calibri" w:hAnsi="Calibri"/>
          <w:iCs/>
        </w:rPr>
        <w:t>of funding for basic programs.</w:t>
      </w:r>
      <w:r w:rsidRPr="006C015C">
        <w:rPr>
          <w:rFonts w:ascii="Calibri" w:hAnsi="Calibri"/>
          <w:b/>
          <w:iCs/>
        </w:rPr>
        <w:t xml:space="preserve"> </w:t>
      </w:r>
      <w:r w:rsidRPr="006C015C">
        <w:rPr>
          <w:rFonts w:ascii="Calibri" w:hAnsi="Calibri"/>
          <w:iCs/>
        </w:rPr>
        <w:t xml:space="preserve">They would </w:t>
      </w:r>
      <w:r w:rsidR="005858E4" w:rsidRPr="006C015C">
        <w:rPr>
          <w:rFonts w:ascii="Calibri" w:hAnsi="Calibri"/>
          <w:iCs/>
        </w:rPr>
        <w:t>prefer to reach back to BRAC funding and isolate those costs into a BRAC account</w:t>
      </w:r>
      <w:r w:rsidRPr="006C015C">
        <w:rPr>
          <w:rFonts w:ascii="Calibri" w:hAnsi="Calibri"/>
          <w:iCs/>
        </w:rPr>
        <w:t xml:space="preserve"> so they don’t eat it out of the </w:t>
      </w:r>
      <w:r w:rsidR="007F348B">
        <w:rPr>
          <w:rFonts w:ascii="Calibri" w:hAnsi="Calibri"/>
          <w:iCs/>
        </w:rPr>
        <w:t>UFM</w:t>
      </w:r>
      <w:r w:rsidRPr="006C015C">
        <w:rPr>
          <w:rFonts w:ascii="Calibri" w:hAnsi="Calibri"/>
          <w:iCs/>
        </w:rPr>
        <w:t xml:space="preserve"> funding. They have closed a number of bases under “transformation” rather than BRAC.</w:t>
      </w:r>
      <w:r w:rsidRPr="00F84355">
        <w:rPr>
          <w:rFonts w:ascii="Calibri" w:hAnsi="Calibri"/>
          <w:iCs/>
        </w:rPr>
        <w:t xml:space="preserve"> </w:t>
      </w:r>
      <w:r w:rsidR="007F348B">
        <w:rPr>
          <w:rFonts w:ascii="Calibri" w:hAnsi="Calibri"/>
          <w:iCs/>
        </w:rPr>
        <w:t xml:space="preserve">Any </w:t>
      </w:r>
      <w:r w:rsidRPr="00F84355">
        <w:rPr>
          <w:rFonts w:ascii="Calibri" w:hAnsi="Calibri"/>
          <w:iCs/>
        </w:rPr>
        <w:t xml:space="preserve">severance for </w:t>
      </w:r>
      <w:r w:rsidR="00A40287" w:rsidRPr="00F84355">
        <w:rPr>
          <w:rFonts w:ascii="Calibri" w:hAnsi="Calibri"/>
          <w:iCs/>
        </w:rPr>
        <w:t>any</w:t>
      </w:r>
      <w:r w:rsidRPr="00F84355">
        <w:rPr>
          <w:rFonts w:ascii="Calibri" w:hAnsi="Calibri"/>
          <w:iCs/>
        </w:rPr>
        <w:t xml:space="preserve"> activity is accrued under the same activity, just like </w:t>
      </w:r>
      <w:r w:rsidR="00A40287" w:rsidRPr="00F84355">
        <w:rPr>
          <w:rFonts w:ascii="Calibri" w:hAnsi="Calibri"/>
          <w:iCs/>
        </w:rPr>
        <w:t>an</w:t>
      </w:r>
      <w:r w:rsidR="007F348B">
        <w:rPr>
          <w:rFonts w:ascii="Calibri" w:hAnsi="Calibri"/>
          <w:iCs/>
        </w:rPr>
        <w:t xml:space="preserve">y </w:t>
      </w:r>
      <w:r w:rsidR="00A40287" w:rsidRPr="00F84355">
        <w:rPr>
          <w:rFonts w:ascii="Calibri" w:hAnsi="Calibri"/>
          <w:iCs/>
        </w:rPr>
        <w:t>other</w:t>
      </w:r>
      <w:r w:rsidRPr="00F84355">
        <w:rPr>
          <w:rFonts w:ascii="Calibri" w:hAnsi="Calibri"/>
          <w:iCs/>
        </w:rPr>
        <w:t xml:space="preserve"> expense.</w:t>
      </w:r>
    </w:p>
    <w:p w14:paraId="2C07EB25" w14:textId="75295672" w:rsidR="00741F22" w:rsidRPr="006C015C" w:rsidRDefault="00741F22" w:rsidP="005858E4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 xml:space="preserve">The </w:t>
      </w:r>
      <w:r w:rsidR="006C015C" w:rsidRPr="006C015C">
        <w:rPr>
          <w:rFonts w:ascii="Calibri" w:hAnsi="Calibri"/>
          <w:iCs/>
        </w:rPr>
        <w:t>group questioned</w:t>
      </w:r>
      <w:r w:rsidRPr="006C015C">
        <w:rPr>
          <w:rFonts w:ascii="Calibri" w:hAnsi="Calibri"/>
          <w:iCs/>
        </w:rPr>
        <w:t xml:space="preserve"> if accruing it implies that this expense is a NAF expense rather then something that should be funded with APF funds? They spend with anticipating that </w:t>
      </w:r>
      <w:r w:rsidR="00AB48D9">
        <w:rPr>
          <w:rFonts w:ascii="Calibri" w:hAnsi="Calibri"/>
          <w:iCs/>
        </w:rPr>
        <w:t xml:space="preserve">their respective APF resource managers at HQs </w:t>
      </w:r>
      <w:r w:rsidRPr="006C015C">
        <w:rPr>
          <w:rFonts w:ascii="Calibri" w:hAnsi="Calibri"/>
          <w:iCs/>
        </w:rPr>
        <w:t>at year end will fill in with offsets to the NAF funds that have been used to pay the expense initially</w:t>
      </w:r>
      <w:r w:rsidR="00AB48D9">
        <w:rPr>
          <w:rFonts w:ascii="Calibri" w:hAnsi="Calibri"/>
          <w:iCs/>
        </w:rPr>
        <w:t xml:space="preserve"> (e.g</w:t>
      </w:r>
      <w:bookmarkStart w:id="0" w:name="_GoBack"/>
      <w:bookmarkEnd w:id="0"/>
      <w:r w:rsidR="00AB48D9">
        <w:rPr>
          <w:rFonts w:ascii="Calibri" w:hAnsi="Calibri"/>
          <w:iCs/>
        </w:rPr>
        <w:t>. UFM)</w:t>
      </w:r>
      <w:r w:rsidRPr="006C015C">
        <w:rPr>
          <w:rFonts w:ascii="Calibri" w:hAnsi="Calibri"/>
          <w:iCs/>
        </w:rPr>
        <w:t>.</w:t>
      </w:r>
    </w:p>
    <w:p w14:paraId="46D4B5F8" w14:textId="77777777" w:rsidR="005858E4" w:rsidRPr="006C015C" w:rsidRDefault="005858E4" w:rsidP="005858E4">
      <w:pPr>
        <w:pStyle w:val="ListParagraph"/>
        <w:numPr>
          <w:ilvl w:val="0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/>
          <w:iCs/>
        </w:rPr>
        <w:lastRenderedPageBreak/>
        <w:t>Depreciation and Amortization as an Operating Expense</w:t>
      </w:r>
      <w:r w:rsidRPr="006C015C">
        <w:rPr>
          <w:rFonts w:ascii="Calibri" w:hAnsi="Calibri"/>
          <w:iCs/>
        </w:rPr>
        <w:t xml:space="preserve"> – </w:t>
      </w:r>
      <w:r w:rsidR="00A40287" w:rsidRPr="006C015C">
        <w:rPr>
          <w:rFonts w:ascii="Calibri" w:hAnsi="Calibri"/>
          <w:iCs/>
        </w:rPr>
        <w:t xml:space="preserve">Addressed the question - </w:t>
      </w:r>
      <w:r w:rsidRPr="006C015C">
        <w:rPr>
          <w:rFonts w:ascii="Calibri" w:hAnsi="Calibri"/>
          <w:iCs/>
        </w:rPr>
        <w:t>should we have it as both an Operating and Non-Operating Expense depending on what is being depreciated/amortized</w:t>
      </w:r>
      <w:r w:rsidR="00A40287" w:rsidRPr="006C015C">
        <w:rPr>
          <w:rFonts w:ascii="Calibri" w:hAnsi="Calibri"/>
          <w:iCs/>
        </w:rPr>
        <w:t>?</w:t>
      </w:r>
    </w:p>
    <w:p w14:paraId="6955C887" w14:textId="77777777" w:rsidR="005858E4" w:rsidRPr="006C015C" w:rsidRDefault="00A40287" w:rsidP="005858E4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>The Marines are currently categorizing this</w:t>
      </w:r>
      <w:r w:rsidR="005858E4" w:rsidRPr="006C015C">
        <w:rPr>
          <w:rFonts w:ascii="Calibri" w:hAnsi="Calibri"/>
          <w:iCs/>
        </w:rPr>
        <w:t xml:space="preserve"> as </w:t>
      </w:r>
      <w:r w:rsidRPr="006C015C">
        <w:rPr>
          <w:rFonts w:ascii="Calibri" w:hAnsi="Calibri"/>
          <w:iCs/>
        </w:rPr>
        <w:t xml:space="preserve">an </w:t>
      </w:r>
      <w:r w:rsidR="005858E4" w:rsidRPr="006C015C">
        <w:rPr>
          <w:rFonts w:ascii="Calibri" w:hAnsi="Calibri"/>
          <w:iCs/>
        </w:rPr>
        <w:t xml:space="preserve">operating </w:t>
      </w:r>
      <w:r w:rsidRPr="006C015C">
        <w:rPr>
          <w:rFonts w:ascii="Calibri" w:hAnsi="Calibri"/>
          <w:iCs/>
        </w:rPr>
        <w:t>expense because they cannot run the business without the equipment/assets.</w:t>
      </w:r>
    </w:p>
    <w:p w14:paraId="1AFAD04A" w14:textId="0C90FB90" w:rsidR="005858E4" w:rsidRPr="006C015C" w:rsidRDefault="00A40287" w:rsidP="005858E4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>The Navy has always been categorizing this as a non-</w:t>
      </w:r>
      <w:r w:rsidR="005858E4" w:rsidRPr="006C015C">
        <w:rPr>
          <w:rFonts w:ascii="Calibri" w:hAnsi="Calibri"/>
          <w:iCs/>
        </w:rPr>
        <w:t xml:space="preserve">operating </w:t>
      </w:r>
      <w:r w:rsidRPr="006C015C">
        <w:rPr>
          <w:rFonts w:ascii="Calibri" w:hAnsi="Calibri"/>
          <w:iCs/>
        </w:rPr>
        <w:t>expense an</w:t>
      </w:r>
      <w:r w:rsidR="00F84355">
        <w:rPr>
          <w:rFonts w:ascii="Calibri" w:hAnsi="Calibri"/>
          <w:iCs/>
        </w:rPr>
        <w:t>d questioned the driving factor.  P</w:t>
      </w:r>
      <w:r w:rsidRPr="006C015C">
        <w:rPr>
          <w:rFonts w:ascii="Calibri" w:hAnsi="Calibri"/>
          <w:iCs/>
        </w:rPr>
        <w:t xml:space="preserve">reliminary research </w:t>
      </w:r>
      <w:r w:rsidR="00F84355">
        <w:rPr>
          <w:rFonts w:ascii="Calibri" w:hAnsi="Calibri"/>
          <w:iCs/>
        </w:rPr>
        <w:t xml:space="preserve">by Stephen Pomager </w:t>
      </w:r>
      <w:r w:rsidRPr="006C015C">
        <w:rPr>
          <w:rFonts w:ascii="Calibri" w:hAnsi="Calibri"/>
          <w:iCs/>
        </w:rPr>
        <w:t>said it was an operating expense depending on what is being depreciated.</w:t>
      </w:r>
    </w:p>
    <w:p w14:paraId="23157A48" w14:textId="77777777" w:rsidR="005858E4" w:rsidRPr="006C015C" w:rsidRDefault="00A40287" w:rsidP="005858E4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 xml:space="preserve">The </w:t>
      </w:r>
      <w:r w:rsidR="005858E4" w:rsidRPr="006C015C">
        <w:rPr>
          <w:rFonts w:ascii="Calibri" w:hAnsi="Calibri"/>
          <w:iCs/>
        </w:rPr>
        <w:t>Air Force</w:t>
      </w:r>
      <w:r w:rsidRPr="006C015C">
        <w:rPr>
          <w:rFonts w:ascii="Calibri" w:hAnsi="Calibri"/>
          <w:iCs/>
        </w:rPr>
        <w:t xml:space="preserve"> treats it as a non-</w:t>
      </w:r>
      <w:r w:rsidR="005858E4" w:rsidRPr="006C015C">
        <w:rPr>
          <w:rFonts w:ascii="Calibri" w:hAnsi="Calibri"/>
          <w:iCs/>
        </w:rPr>
        <w:t xml:space="preserve">operating </w:t>
      </w:r>
      <w:r w:rsidRPr="006C015C">
        <w:rPr>
          <w:rFonts w:ascii="Calibri" w:hAnsi="Calibri"/>
          <w:iCs/>
        </w:rPr>
        <w:t>expense.</w:t>
      </w:r>
    </w:p>
    <w:p w14:paraId="0A00D601" w14:textId="77777777" w:rsidR="00A40287" w:rsidRPr="006C015C" w:rsidRDefault="00A40287" w:rsidP="00A40287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>The Army makes the point that it is below the line and therefore</w:t>
      </w:r>
      <w:r w:rsidR="005858E4" w:rsidRPr="006C015C">
        <w:rPr>
          <w:rFonts w:ascii="Calibri" w:hAnsi="Calibri"/>
          <w:iCs/>
        </w:rPr>
        <w:t xml:space="preserve"> uncategorized</w:t>
      </w:r>
      <w:r w:rsidRPr="006C015C">
        <w:rPr>
          <w:rFonts w:ascii="Calibri" w:hAnsi="Calibri"/>
          <w:iCs/>
        </w:rPr>
        <w:t>.</w:t>
      </w:r>
    </w:p>
    <w:p w14:paraId="5D1EA087" w14:textId="77777777" w:rsidR="005858E4" w:rsidRPr="006C015C" w:rsidRDefault="00A40287" w:rsidP="005858E4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b/>
          <w:iCs/>
          <w:color w:val="FF0000"/>
        </w:rPr>
        <w:t xml:space="preserve">Action Item: </w:t>
      </w:r>
      <w:r w:rsidRPr="006C015C">
        <w:rPr>
          <w:rFonts w:ascii="Calibri" w:hAnsi="Calibri"/>
          <w:iCs/>
        </w:rPr>
        <w:t xml:space="preserve">Grant Thornton to conduct </w:t>
      </w:r>
      <w:r w:rsidR="005858E4" w:rsidRPr="006C015C">
        <w:rPr>
          <w:rFonts w:ascii="Calibri" w:hAnsi="Calibri"/>
          <w:iCs/>
        </w:rPr>
        <w:t xml:space="preserve">additional research </w:t>
      </w:r>
      <w:r w:rsidR="009A31FA" w:rsidRPr="006C015C">
        <w:rPr>
          <w:rFonts w:ascii="Calibri" w:hAnsi="Calibri"/>
          <w:iCs/>
        </w:rPr>
        <w:t xml:space="preserve">on how </w:t>
      </w:r>
      <w:r w:rsidR="00FF2D1E" w:rsidRPr="006C015C">
        <w:rPr>
          <w:rFonts w:ascii="Calibri" w:hAnsi="Calibri"/>
          <w:iCs/>
        </w:rPr>
        <w:t>depreciation</w:t>
      </w:r>
      <w:r w:rsidR="009A31FA" w:rsidRPr="006C015C">
        <w:rPr>
          <w:rFonts w:ascii="Calibri" w:hAnsi="Calibri"/>
          <w:iCs/>
        </w:rPr>
        <w:t xml:space="preserve"> and amortization is recorded </w:t>
      </w:r>
      <w:r w:rsidR="005858E4" w:rsidRPr="006C015C">
        <w:rPr>
          <w:rFonts w:ascii="Calibri" w:hAnsi="Calibri"/>
          <w:iCs/>
        </w:rPr>
        <w:t>and look for similar examples</w:t>
      </w:r>
      <w:r w:rsidRPr="006C015C">
        <w:rPr>
          <w:rFonts w:ascii="Calibri" w:hAnsi="Calibri"/>
          <w:iCs/>
        </w:rPr>
        <w:t>.</w:t>
      </w:r>
    </w:p>
    <w:p w14:paraId="7B0155C6" w14:textId="77777777" w:rsidR="005858E4" w:rsidRPr="006C015C" w:rsidRDefault="005858E4" w:rsidP="005858E4">
      <w:pPr>
        <w:pStyle w:val="ListParagraph"/>
        <w:numPr>
          <w:ilvl w:val="0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/>
          <w:iCs/>
        </w:rPr>
        <w:t xml:space="preserve">Schedule A – APF and NAF Expense Summary </w:t>
      </w:r>
      <w:r w:rsidRPr="006C015C">
        <w:rPr>
          <w:rFonts w:ascii="Calibri" w:hAnsi="Calibri"/>
          <w:iCs/>
        </w:rPr>
        <w:t>– Do other reports capture similar data?</w:t>
      </w:r>
    </w:p>
    <w:p w14:paraId="7D447AFF" w14:textId="567AC65C" w:rsidR="005858E4" w:rsidRPr="006C015C" w:rsidRDefault="00FF2D1E" w:rsidP="005858E4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>This m</w:t>
      </w:r>
      <w:r w:rsidR="00F84355">
        <w:rPr>
          <w:rFonts w:ascii="Calibri" w:hAnsi="Calibri"/>
          <w:iCs/>
        </w:rPr>
        <w:t>ay be a thing</w:t>
      </w:r>
      <w:r w:rsidR="005858E4" w:rsidRPr="006C015C">
        <w:rPr>
          <w:rFonts w:ascii="Calibri" w:hAnsi="Calibri"/>
          <w:iCs/>
        </w:rPr>
        <w:t xml:space="preserve"> to come</w:t>
      </w:r>
      <w:r w:rsidRPr="006C015C">
        <w:rPr>
          <w:rFonts w:ascii="Calibri" w:hAnsi="Calibri"/>
          <w:iCs/>
        </w:rPr>
        <w:t xml:space="preserve">. In the 1015.15 there was a section that was canceled which Carol </w:t>
      </w:r>
      <w:r w:rsidR="00F84355">
        <w:rPr>
          <w:rFonts w:ascii="Calibri" w:hAnsi="Calibri"/>
          <w:iCs/>
        </w:rPr>
        <w:t xml:space="preserve">Potter </w:t>
      </w:r>
      <w:r w:rsidRPr="006C015C">
        <w:rPr>
          <w:rFonts w:ascii="Calibri" w:hAnsi="Calibri"/>
          <w:iCs/>
        </w:rPr>
        <w:t>ended up cover</w:t>
      </w:r>
      <w:r w:rsidR="00F84355">
        <w:rPr>
          <w:rFonts w:ascii="Calibri" w:hAnsi="Calibri"/>
          <w:iCs/>
        </w:rPr>
        <w:t xml:space="preserve">ing </w:t>
      </w:r>
      <w:r w:rsidRPr="006C015C">
        <w:rPr>
          <w:rFonts w:ascii="Calibri" w:hAnsi="Calibri"/>
          <w:iCs/>
        </w:rPr>
        <w:t xml:space="preserve">for via the </w:t>
      </w:r>
      <w:r w:rsidR="00F84355">
        <w:rPr>
          <w:rFonts w:ascii="Calibri" w:hAnsi="Calibri"/>
          <w:iCs/>
        </w:rPr>
        <w:t xml:space="preserve">MWR </w:t>
      </w:r>
      <w:r w:rsidRPr="006C015C">
        <w:rPr>
          <w:rFonts w:ascii="Calibri" w:hAnsi="Calibri"/>
          <w:iCs/>
        </w:rPr>
        <w:t xml:space="preserve">Program report. </w:t>
      </w:r>
    </w:p>
    <w:p w14:paraId="472F8265" w14:textId="77777777" w:rsidR="005858E4" w:rsidRPr="006C015C" w:rsidRDefault="00FF2D1E" w:rsidP="005858E4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 xml:space="preserve">USMC has to </w:t>
      </w:r>
      <w:r w:rsidR="005858E4" w:rsidRPr="006C015C">
        <w:rPr>
          <w:rFonts w:ascii="Calibri" w:hAnsi="Calibri"/>
          <w:iCs/>
        </w:rPr>
        <w:t xml:space="preserve">internally do a lot of reclassifications at their </w:t>
      </w:r>
      <w:r w:rsidRPr="006C015C">
        <w:rPr>
          <w:rFonts w:ascii="Calibri" w:hAnsi="Calibri"/>
          <w:iCs/>
        </w:rPr>
        <w:t>year-end</w:t>
      </w:r>
      <w:r w:rsidR="005858E4" w:rsidRPr="006C015C">
        <w:rPr>
          <w:rFonts w:ascii="Calibri" w:hAnsi="Calibri"/>
          <w:iCs/>
        </w:rPr>
        <w:t xml:space="preserve"> in order to get </w:t>
      </w:r>
      <w:r w:rsidRPr="006C015C">
        <w:rPr>
          <w:rFonts w:ascii="Calibri" w:hAnsi="Calibri"/>
          <w:iCs/>
        </w:rPr>
        <w:t>S</w:t>
      </w:r>
      <w:r w:rsidR="005858E4" w:rsidRPr="006C015C">
        <w:rPr>
          <w:rFonts w:ascii="Calibri" w:hAnsi="Calibri"/>
          <w:iCs/>
        </w:rPr>
        <w:t xml:space="preserve">chedule </w:t>
      </w:r>
      <w:r w:rsidRPr="006C015C">
        <w:rPr>
          <w:rFonts w:ascii="Calibri" w:hAnsi="Calibri"/>
          <w:iCs/>
        </w:rPr>
        <w:t>A</w:t>
      </w:r>
      <w:r w:rsidR="005858E4" w:rsidRPr="006C015C">
        <w:rPr>
          <w:rFonts w:ascii="Calibri" w:hAnsi="Calibri"/>
          <w:iCs/>
        </w:rPr>
        <w:t xml:space="preserve"> to report the way it does so </w:t>
      </w:r>
      <w:r w:rsidRPr="006C015C">
        <w:rPr>
          <w:rFonts w:ascii="Calibri" w:hAnsi="Calibri"/>
          <w:iCs/>
        </w:rPr>
        <w:t>that Carol P</w:t>
      </w:r>
      <w:r w:rsidR="005858E4" w:rsidRPr="006C015C">
        <w:rPr>
          <w:rFonts w:ascii="Calibri" w:hAnsi="Calibri"/>
          <w:iCs/>
        </w:rPr>
        <w:t>otter can utilize and validate their metric report numbers</w:t>
      </w:r>
      <w:r w:rsidRPr="006C015C">
        <w:rPr>
          <w:rFonts w:ascii="Calibri" w:hAnsi="Calibri"/>
          <w:iCs/>
        </w:rPr>
        <w:t>. Would UFM be considered “income”?</w:t>
      </w:r>
      <w:r w:rsidR="005858E4" w:rsidRPr="006C015C">
        <w:rPr>
          <w:rFonts w:ascii="Calibri" w:hAnsi="Calibri"/>
          <w:iCs/>
        </w:rPr>
        <w:t xml:space="preserve"> </w:t>
      </w:r>
    </w:p>
    <w:p w14:paraId="04AA3CFA" w14:textId="77777777" w:rsidR="005858E4" w:rsidRPr="006C015C" w:rsidRDefault="00FF2D1E" w:rsidP="005858E4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 xml:space="preserve">The </w:t>
      </w:r>
      <w:r w:rsidR="005858E4" w:rsidRPr="006C015C">
        <w:rPr>
          <w:rFonts w:ascii="Calibri" w:hAnsi="Calibri"/>
          <w:iCs/>
        </w:rPr>
        <w:t xml:space="preserve">Army </w:t>
      </w:r>
      <w:r w:rsidRPr="006C015C">
        <w:rPr>
          <w:rFonts w:ascii="Calibri" w:hAnsi="Calibri"/>
          <w:iCs/>
        </w:rPr>
        <w:t>is unaware as the staff that completed the reports in the past have moved on.</w:t>
      </w:r>
    </w:p>
    <w:p w14:paraId="11F205F6" w14:textId="77777777" w:rsidR="00FF2D1E" w:rsidRDefault="00FF2D1E" w:rsidP="00FF2D1E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 w:rsidRPr="006C015C">
        <w:rPr>
          <w:rFonts w:ascii="Calibri" w:hAnsi="Calibri"/>
          <w:iCs/>
        </w:rPr>
        <w:t xml:space="preserve">The </w:t>
      </w:r>
      <w:r w:rsidR="005858E4" w:rsidRPr="006C015C">
        <w:rPr>
          <w:rFonts w:ascii="Calibri" w:hAnsi="Calibri"/>
          <w:iCs/>
        </w:rPr>
        <w:t xml:space="preserve">Navy </w:t>
      </w:r>
      <w:r w:rsidRPr="006C015C">
        <w:rPr>
          <w:rFonts w:ascii="Calibri" w:hAnsi="Calibri"/>
          <w:iCs/>
        </w:rPr>
        <w:t>and Air Force use this as a management report.</w:t>
      </w:r>
    </w:p>
    <w:p w14:paraId="6B86BB16" w14:textId="06D4A433" w:rsidR="00F84355" w:rsidRPr="00F84355" w:rsidRDefault="00F84355" w:rsidP="00F84355">
      <w:pPr>
        <w:pStyle w:val="ListParagraph"/>
        <w:numPr>
          <w:ilvl w:val="0"/>
          <w:numId w:val="18"/>
        </w:numPr>
        <w:rPr>
          <w:rFonts w:ascii="Calibri" w:hAnsi="Calibri"/>
          <w:i/>
          <w:iCs/>
        </w:rPr>
      </w:pPr>
      <w:r w:rsidRPr="00F84355">
        <w:rPr>
          <w:rFonts w:ascii="Calibri" w:hAnsi="Calibri"/>
          <w:i/>
          <w:iCs/>
        </w:rPr>
        <w:t>Cash Ratios – Acid-Test and Current Ratios</w:t>
      </w:r>
    </w:p>
    <w:p w14:paraId="26ABDB25" w14:textId="2A02F123" w:rsidR="00F84355" w:rsidRDefault="00F84355" w:rsidP="00F84355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MCCS wants to have a future discussion on cash ratios for different business lines, such as the Exchanges or the Lodging funds.</w:t>
      </w:r>
    </w:p>
    <w:p w14:paraId="4DE98542" w14:textId="42C31653" w:rsidR="00F84355" w:rsidRPr="006C015C" w:rsidRDefault="00F84355" w:rsidP="00F84355">
      <w:pPr>
        <w:pStyle w:val="ListParagraph"/>
        <w:numPr>
          <w:ilvl w:val="1"/>
          <w:numId w:val="18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Mike Curtis said there will be discussions at future meetings of accounting policies in the DoD Financial Management Regulation (FMR), to include cash ratios and the inclusion of accountin</w:t>
      </w:r>
      <w:r w:rsidR="0016143C">
        <w:rPr>
          <w:rFonts w:ascii="Calibri" w:hAnsi="Calibri"/>
          <w:iCs/>
        </w:rPr>
        <w:t>g policy for Exchanges (currently</w:t>
      </w:r>
      <w:r>
        <w:rPr>
          <w:rFonts w:ascii="Calibri" w:hAnsi="Calibri"/>
          <w:iCs/>
        </w:rPr>
        <w:t xml:space="preserve"> missing in the FMR).</w:t>
      </w:r>
    </w:p>
    <w:p w14:paraId="55D57DB1" w14:textId="77777777" w:rsidR="00FF2D1E" w:rsidRPr="006C015C" w:rsidRDefault="00FF2D1E" w:rsidP="00FF2D1E">
      <w:pPr>
        <w:rPr>
          <w:rFonts w:ascii="Calibri" w:hAnsi="Calibri" w:cs="Times New Roman"/>
          <w:b/>
          <w:iCs/>
          <w:sz w:val="24"/>
          <w:szCs w:val="24"/>
        </w:rPr>
      </w:pPr>
    </w:p>
    <w:p w14:paraId="7A43E576" w14:textId="77777777" w:rsidR="00FF2D1E" w:rsidRPr="006C015C" w:rsidRDefault="00FF2D1E" w:rsidP="00FF2D1E">
      <w:pPr>
        <w:rPr>
          <w:rFonts w:ascii="Calibri" w:hAnsi="Calibri"/>
          <w:b/>
          <w:u w:val="single"/>
        </w:rPr>
      </w:pPr>
      <w:r w:rsidRPr="006C015C">
        <w:rPr>
          <w:rFonts w:ascii="Calibri" w:hAnsi="Calibri"/>
          <w:b/>
          <w:u w:val="single"/>
        </w:rPr>
        <w:t xml:space="preserve">GLAC Mapping and Financial Statement Presentation – Mr. Jeremy Blain / Mr. Stephen Pomager, GT </w:t>
      </w:r>
    </w:p>
    <w:p w14:paraId="19C6CADE" w14:textId="437B70B3" w:rsidR="006631D3" w:rsidRPr="006C015C" w:rsidRDefault="006631D3" w:rsidP="006631D3">
      <w:pPr>
        <w:pStyle w:val="ListParagraph"/>
        <w:numPr>
          <w:ilvl w:val="0"/>
          <w:numId w:val="19"/>
        </w:numPr>
        <w:rPr>
          <w:rFonts w:ascii="Calibri" w:hAnsi="Calibri"/>
        </w:rPr>
      </w:pPr>
      <w:r w:rsidRPr="006C015C">
        <w:rPr>
          <w:rFonts w:ascii="Calibri" w:hAnsi="Calibri"/>
        </w:rPr>
        <w:t>Welcomed the review on the mapping of GLAC</w:t>
      </w:r>
      <w:r w:rsidR="00F84355">
        <w:rPr>
          <w:rFonts w:ascii="Calibri" w:hAnsi="Calibri"/>
        </w:rPr>
        <w:t xml:space="preserve">s to the financial statement.  </w:t>
      </w:r>
      <w:r w:rsidR="00FF2D1E" w:rsidRPr="006C015C">
        <w:rPr>
          <w:rFonts w:ascii="Calibri" w:hAnsi="Calibri"/>
        </w:rPr>
        <w:t>The int</w:t>
      </w:r>
      <w:r w:rsidR="00F84355">
        <w:rPr>
          <w:rFonts w:ascii="Calibri" w:hAnsi="Calibri"/>
        </w:rPr>
        <w:t>ent is to use this as a tool for new NAF accountants</w:t>
      </w:r>
      <w:r w:rsidRPr="006C015C">
        <w:rPr>
          <w:rFonts w:ascii="Calibri" w:hAnsi="Calibri"/>
        </w:rPr>
        <w:t xml:space="preserve">. </w:t>
      </w:r>
      <w:r w:rsidR="00F84355">
        <w:rPr>
          <w:rFonts w:ascii="Calibri" w:hAnsi="Calibri"/>
        </w:rPr>
        <w:t xml:space="preserve"> </w:t>
      </w:r>
      <w:r w:rsidRPr="006C015C">
        <w:rPr>
          <w:rFonts w:ascii="Calibri" w:hAnsi="Calibri"/>
        </w:rPr>
        <w:t>It is replacing what is in the FMR with a new standard general ledger. The draft document</w:t>
      </w:r>
      <w:r w:rsidR="00F84355">
        <w:rPr>
          <w:rFonts w:ascii="Calibri" w:hAnsi="Calibri"/>
        </w:rPr>
        <w:t xml:space="preserve">s presented are for the WG </w:t>
      </w:r>
      <w:r w:rsidRPr="006C015C">
        <w:rPr>
          <w:rFonts w:ascii="Calibri" w:hAnsi="Calibri"/>
        </w:rPr>
        <w:t xml:space="preserve">review and Grant Thornton </w:t>
      </w:r>
      <w:r w:rsidR="00F84355">
        <w:rPr>
          <w:rFonts w:ascii="Calibri" w:hAnsi="Calibri"/>
        </w:rPr>
        <w:t>is open to moving things around, based on discussion.  There will most likely be a number of iterations.</w:t>
      </w:r>
    </w:p>
    <w:p w14:paraId="7A6168CF" w14:textId="77777777" w:rsidR="006631D3" w:rsidRPr="006C015C" w:rsidRDefault="00FF2D1E" w:rsidP="006631D3">
      <w:pPr>
        <w:pStyle w:val="ListParagraph"/>
        <w:numPr>
          <w:ilvl w:val="1"/>
          <w:numId w:val="19"/>
        </w:numPr>
        <w:rPr>
          <w:rFonts w:ascii="Calibri" w:hAnsi="Calibri"/>
        </w:rPr>
      </w:pPr>
      <w:r w:rsidRPr="006C015C">
        <w:rPr>
          <w:rFonts w:ascii="Calibri" w:hAnsi="Calibri"/>
          <w:iCs/>
        </w:rPr>
        <w:t>Balance Sheet</w:t>
      </w:r>
    </w:p>
    <w:p w14:paraId="05FEB5F4" w14:textId="77777777" w:rsidR="006631D3" w:rsidRPr="006C015C" w:rsidRDefault="00FF2D1E" w:rsidP="006631D3">
      <w:pPr>
        <w:pStyle w:val="ListParagraph"/>
        <w:numPr>
          <w:ilvl w:val="1"/>
          <w:numId w:val="19"/>
        </w:numPr>
        <w:rPr>
          <w:rFonts w:ascii="Calibri" w:hAnsi="Calibri"/>
        </w:rPr>
      </w:pPr>
      <w:r w:rsidRPr="006C015C">
        <w:rPr>
          <w:rFonts w:ascii="Calibri" w:hAnsi="Calibri"/>
          <w:iCs/>
        </w:rPr>
        <w:t>Income Statement</w:t>
      </w:r>
      <w:r w:rsidR="006631D3" w:rsidRPr="006C015C">
        <w:rPr>
          <w:rFonts w:ascii="Calibri" w:hAnsi="Calibri"/>
          <w:iCs/>
        </w:rPr>
        <w:t>: This will be updated to reflect the new GLAC – COGS.</w:t>
      </w:r>
    </w:p>
    <w:p w14:paraId="179702B9" w14:textId="77777777" w:rsidR="006631D3" w:rsidRPr="006C015C" w:rsidRDefault="006631D3" w:rsidP="006631D3">
      <w:pPr>
        <w:pStyle w:val="ListParagraph"/>
        <w:numPr>
          <w:ilvl w:val="1"/>
          <w:numId w:val="19"/>
        </w:numPr>
        <w:contextualSpacing w:val="0"/>
        <w:rPr>
          <w:rFonts w:ascii="Calibri" w:hAnsi="Calibri"/>
          <w:iCs/>
          <w:szCs w:val="22"/>
        </w:rPr>
      </w:pPr>
      <w:r w:rsidRPr="006C015C">
        <w:rPr>
          <w:rFonts w:ascii="Calibri" w:hAnsi="Calibri"/>
          <w:iCs/>
        </w:rPr>
        <w:t>Statement of Cash Flows</w:t>
      </w:r>
    </w:p>
    <w:p w14:paraId="175025B6" w14:textId="77777777" w:rsidR="006631D3" w:rsidRPr="006C015C" w:rsidRDefault="006631D3" w:rsidP="006631D3">
      <w:pPr>
        <w:pStyle w:val="ListParagraph"/>
        <w:numPr>
          <w:ilvl w:val="1"/>
          <w:numId w:val="19"/>
        </w:numPr>
        <w:contextualSpacing w:val="0"/>
        <w:rPr>
          <w:rFonts w:ascii="Calibri" w:hAnsi="Calibri"/>
          <w:i/>
        </w:rPr>
      </w:pPr>
      <w:r w:rsidRPr="006C015C">
        <w:rPr>
          <w:rFonts w:ascii="Calibri" w:hAnsi="Calibri"/>
          <w:iCs/>
        </w:rPr>
        <w:t>Reconciliation of Net Worth</w:t>
      </w:r>
    </w:p>
    <w:p w14:paraId="78C37AED" w14:textId="0A975AE5" w:rsidR="006631D3" w:rsidRPr="006C015C" w:rsidRDefault="006631D3" w:rsidP="006631D3">
      <w:pPr>
        <w:pStyle w:val="ListParagraph"/>
        <w:numPr>
          <w:ilvl w:val="0"/>
          <w:numId w:val="19"/>
        </w:numPr>
        <w:rPr>
          <w:rFonts w:ascii="Calibri" w:hAnsi="Calibri"/>
        </w:rPr>
      </w:pPr>
      <w:r w:rsidRPr="006C015C">
        <w:rPr>
          <w:rFonts w:ascii="Calibri" w:hAnsi="Calibri"/>
          <w:b/>
          <w:color w:val="FF0000"/>
        </w:rPr>
        <w:t xml:space="preserve">Action Item: </w:t>
      </w:r>
      <w:r w:rsidRPr="006C015C">
        <w:rPr>
          <w:rFonts w:ascii="Calibri" w:hAnsi="Calibri"/>
        </w:rPr>
        <w:t xml:space="preserve">The Services to review all GLAC Mapping documents for financial statements and provide feedback at </w:t>
      </w:r>
      <w:r w:rsidR="00F84355">
        <w:rPr>
          <w:rFonts w:ascii="Calibri" w:hAnsi="Calibri"/>
        </w:rPr>
        <w:t>next WG meeting</w:t>
      </w:r>
      <w:r w:rsidRPr="006C015C">
        <w:rPr>
          <w:rFonts w:ascii="Calibri" w:hAnsi="Calibri"/>
        </w:rPr>
        <w:t>.</w:t>
      </w:r>
    </w:p>
    <w:p w14:paraId="7E4FBEB2" w14:textId="77777777" w:rsidR="005858E4" w:rsidRPr="006C015C" w:rsidRDefault="005858E4" w:rsidP="005F48AA">
      <w:pPr>
        <w:pStyle w:val="NormalWeb"/>
        <w:rPr>
          <w:rFonts w:ascii="Calibri" w:hAnsi="Calibri"/>
          <w:b/>
          <w:iCs/>
        </w:rPr>
      </w:pPr>
    </w:p>
    <w:p w14:paraId="5453A262" w14:textId="77777777" w:rsidR="005F48AA" w:rsidRPr="006C015C" w:rsidRDefault="005F48AA" w:rsidP="005F48AA">
      <w:pPr>
        <w:pStyle w:val="NormalWeb"/>
        <w:rPr>
          <w:rFonts w:ascii="Calibri" w:hAnsi="Calibri"/>
          <w:b/>
          <w:color w:val="000000"/>
          <w:sz w:val="22"/>
          <w:szCs w:val="22"/>
          <w:u w:val="single"/>
        </w:rPr>
      </w:pPr>
      <w:r w:rsidRPr="006C015C">
        <w:rPr>
          <w:rFonts w:ascii="Calibri" w:hAnsi="Calibri"/>
          <w:b/>
          <w:color w:val="000000"/>
          <w:sz w:val="22"/>
          <w:szCs w:val="22"/>
          <w:u w:val="single"/>
        </w:rPr>
        <w:t>Wrap up – Mr. Justin Hall, Assistant Director, MWR &amp; Resale Policy</w:t>
      </w:r>
    </w:p>
    <w:p w14:paraId="27895CD9" w14:textId="77777777" w:rsidR="00705787" w:rsidRPr="006C015C" w:rsidRDefault="00705787" w:rsidP="00285CEC">
      <w:pPr>
        <w:pStyle w:val="NormalWeb"/>
        <w:numPr>
          <w:ilvl w:val="0"/>
          <w:numId w:val="12"/>
        </w:numPr>
        <w:rPr>
          <w:rFonts w:ascii="Calibri" w:hAnsi="Calibri"/>
          <w:color w:val="000000"/>
          <w:sz w:val="22"/>
          <w:szCs w:val="22"/>
        </w:rPr>
      </w:pPr>
      <w:r w:rsidRPr="006C015C">
        <w:rPr>
          <w:rFonts w:ascii="Calibri" w:hAnsi="Calibri"/>
          <w:color w:val="000000"/>
          <w:sz w:val="22"/>
          <w:szCs w:val="22"/>
        </w:rPr>
        <w:t xml:space="preserve">Next working group session is scheduled for </w:t>
      </w:r>
      <w:r w:rsidR="006631D3" w:rsidRPr="006C015C">
        <w:rPr>
          <w:rFonts w:ascii="Calibri" w:hAnsi="Calibri"/>
          <w:color w:val="000000"/>
          <w:sz w:val="22"/>
          <w:szCs w:val="22"/>
        </w:rPr>
        <w:t>July 23</w:t>
      </w:r>
      <w:r w:rsidR="006631D3" w:rsidRPr="006C015C">
        <w:rPr>
          <w:rFonts w:ascii="Calibri" w:hAnsi="Calibri"/>
          <w:color w:val="000000"/>
          <w:sz w:val="22"/>
          <w:szCs w:val="22"/>
          <w:vertAlign w:val="superscript"/>
        </w:rPr>
        <w:t>rd</w:t>
      </w:r>
      <w:r w:rsidR="006631D3" w:rsidRPr="006C015C">
        <w:rPr>
          <w:rFonts w:ascii="Calibri" w:hAnsi="Calibri"/>
          <w:color w:val="000000"/>
          <w:sz w:val="22"/>
          <w:szCs w:val="22"/>
        </w:rPr>
        <w:t xml:space="preserve"> </w:t>
      </w:r>
    </w:p>
    <w:p w14:paraId="5BBBC31A" w14:textId="77777777" w:rsidR="005F48AA" w:rsidRPr="006C015C" w:rsidRDefault="005F48AA" w:rsidP="005F48AA">
      <w:pPr>
        <w:pStyle w:val="NormalWeb"/>
        <w:rPr>
          <w:rFonts w:ascii="Calibri" w:hAnsi="Calibri"/>
          <w:color w:val="000000"/>
          <w:sz w:val="22"/>
          <w:szCs w:val="22"/>
        </w:rPr>
      </w:pPr>
    </w:p>
    <w:p w14:paraId="4D38A738" w14:textId="77777777" w:rsidR="003866F9" w:rsidRPr="006C015C" w:rsidRDefault="003866F9" w:rsidP="00705787">
      <w:pPr>
        <w:rPr>
          <w:rFonts w:ascii="Calibri" w:hAnsi="Calibri"/>
        </w:rPr>
      </w:pPr>
    </w:p>
    <w:sectPr w:rsidR="003866F9" w:rsidRPr="006C015C" w:rsidSect="00F84355">
      <w:footerReference w:type="default" r:id="rId9"/>
      <w:pgSz w:w="12240" w:h="15840" w:code="1"/>
      <w:pgMar w:top="1440" w:right="1440" w:bottom="1152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781B3" w14:textId="77777777" w:rsidR="008A5E17" w:rsidRDefault="008A5E17">
      <w:r>
        <w:separator/>
      </w:r>
    </w:p>
  </w:endnote>
  <w:endnote w:type="continuationSeparator" w:id="0">
    <w:p w14:paraId="097706F7" w14:textId="77777777" w:rsidR="008A5E17" w:rsidRDefault="008A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79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7E1B0" w14:textId="77777777" w:rsidR="00DE086F" w:rsidRDefault="00DE086F" w:rsidP="00DE086F">
        <w:pPr>
          <w:pStyle w:val="Footer"/>
          <w:rPr>
            <w:noProof/>
          </w:rPr>
        </w:pPr>
        <w:r>
          <w:t>NAFSGL Working Group</w:t>
        </w:r>
        <w:r>
          <w:tab/>
        </w:r>
        <w:r>
          <w:tab/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8D9">
          <w:rPr>
            <w:noProof/>
          </w:rPr>
          <w:t>3</w:t>
        </w:r>
        <w:r>
          <w:rPr>
            <w:noProof/>
          </w:rPr>
          <w:fldChar w:fldCharType="end"/>
        </w:r>
      </w:p>
      <w:p w14:paraId="6209EF48" w14:textId="77777777" w:rsidR="00DE086F" w:rsidRDefault="00DE086F" w:rsidP="00DE086F">
        <w:pPr>
          <w:pStyle w:val="Footer"/>
        </w:pPr>
        <w:r>
          <w:rPr>
            <w:noProof/>
          </w:rPr>
          <w:t>April 23, 2015</w:t>
        </w:r>
      </w:p>
    </w:sdtContent>
  </w:sdt>
  <w:p w14:paraId="322D8EE6" w14:textId="77777777" w:rsidR="00DE086F" w:rsidRDefault="00DE0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1FEB5" w14:textId="77777777" w:rsidR="008A5E17" w:rsidRDefault="008A5E17">
      <w:r>
        <w:separator/>
      </w:r>
    </w:p>
  </w:footnote>
  <w:footnote w:type="continuationSeparator" w:id="0">
    <w:p w14:paraId="01FB8C81" w14:textId="77777777" w:rsidR="008A5E17" w:rsidRDefault="008A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D457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C4CF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1D62AA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2629A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7D64DB6"/>
    <w:lvl w:ilvl="0">
      <w:start w:val="1"/>
      <w:numFmt w:val="bullet"/>
      <w:pStyle w:val="ListBullet3"/>
      <w:lvlText w:val=""/>
      <w:lvlJc w:val="left"/>
      <w:pPr>
        <w:tabs>
          <w:tab w:val="num" w:pos="1588"/>
        </w:tabs>
        <w:ind w:left="1588" w:hanging="908"/>
      </w:pPr>
      <w:rPr>
        <w:rFonts w:ascii="Symbol" w:hAnsi="Symbol" w:hint="default"/>
        <w:color w:val="632163"/>
      </w:rPr>
    </w:lvl>
  </w:abstractNum>
  <w:abstractNum w:abstractNumId="5">
    <w:nsid w:val="08124CFC"/>
    <w:multiLevelType w:val="hybridMultilevel"/>
    <w:tmpl w:val="669A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B08AD"/>
    <w:multiLevelType w:val="hybridMultilevel"/>
    <w:tmpl w:val="178A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0CEA2F93"/>
    <w:multiLevelType w:val="hybridMultilevel"/>
    <w:tmpl w:val="618EE820"/>
    <w:lvl w:ilvl="0" w:tplc="146E0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4951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425B0"/>
    <w:multiLevelType w:val="hybridMultilevel"/>
    <w:tmpl w:val="0F0A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80203C4"/>
    <w:multiLevelType w:val="hybridMultilevel"/>
    <w:tmpl w:val="5D4A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716FB"/>
    <w:multiLevelType w:val="hybridMultilevel"/>
    <w:tmpl w:val="909A00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0F6593"/>
    <w:multiLevelType w:val="hybridMultilevel"/>
    <w:tmpl w:val="181E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5F52792"/>
    <w:multiLevelType w:val="hybridMultilevel"/>
    <w:tmpl w:val="87B2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0647179"/>
    <w:multiLevelType w:val="hybridMultilevel"/>
    <w:tmpl w:val="DA0E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16"/>
  </w:num>
  <w:num w:numId="10">
    <w:abstractNumId w:val="14"/>
  </w:num>
  <w:num w:numId="11">
    <w:abstractNumId w:val="6"/>
  </w:num>
  <w:num w:numId="12">
    <w:abstractNumId w:val="9"/>
  </w:num>
  <w:num w:numId="13">
    <w:abstractNumId w:val="15"/>
  </w:num>
  <w:num w:numId="14">
    <w:abstractNumId w:val="5"/>
  </w:num>
  <w:num w:numId="15">
    <w:abstractNumId w:val="12"/>
  </w:num>
  <w:num w:numId="16">
    <w:abstractNumId w:val="17"/>
  </w:num>
  <w:num w:numId="17">
    <w:abstractNumId w:val="8"/>
  </w:num>
  <w:num w:numId="18">
    <w:abstractNumId w:val="13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84"/>
    <w:rsid w:val="00007F31"/>
    <w:rsid w:val="00021F8F"/>
    <w:rsid w:val="00066175"/>
    <w:rsid w:val="00074688"/>
    <w:rsid w:val="000A0807"/>
    <w:rsid w:val="000C7B49"/>
    <w:rsid w:val="000F700D"/>
    <w:rsid w:val="00110584"/>
    <w:rsid w:val="0012715F"/>
    <w:rsid w:val="0016143C"/>
    <w:rsid w:val="001A5551"/>
    <w:rsid w:val="001E45B8"/>
    <w:rsid w:val="001E6F57"/>
    <w:rsid w:val="00200A58"/>
    <w:rsid w:val="00213D94"/>
    <w:rsid w:val="00254FC0"/>
    <w:rsid w:val="00257D56"/>
    <w:rsid w:val="002631DA"/>
    <w:rsid w:val="00281D8A"/>
    <w:rsid w:val="00285CEC"/>
    <w:rsid w:val="002A5C61"/>
    <w:rsid w:val="002C0344"/>
    <w:rsid w:val="002E27AE"/>
    <w:rsid w:val="002E788C"/>
    <w:rsid w:val="002E7F31"/>
    <w:rsid w:val="00305C57"/>
    <w:rsid w:val="00377DC2"/>
    <w:rsid w:val="003866F9"/>
    <w:rsid w:val="003A71A2"/>
    <w:rsid w:val="003B345C"/>
    <w:rsid w:val="003B3CE5"/>
    <w:rsid w:val="003D4A62"/>
    <w:rsid w:val="003E45A9"/>
    <w:rsid w:val="003E7371"/>
    <w:rsid w:val="003F016B"/>
    <w:rsid w:val="0044428A"/>
    <w:rsid w:val="004B04B3"/>
    <w:rsid w:val="004B0EB8"/>
    <w:rsid w:val="004C13D3"/>
    <w:rsid w:val="004C613D"/>
    <w:rsid w:val="004D457B"/>
    <w:rsid w:val="004F179E"/>
    <w:rsid w:val="005056DF"/>
    <w:rsid w:val="00512D70"/>
    <w:rsid w:val="00520EF0"/>
    <w:rsid w:val="0056384A"/>
    <w:rsid w:val="00577197"/>
    <w:rsid w:val="005858E4"/>
    <w:rsid w:val="005936B9"/>
    <w:rsid w:val="005B3459"/>
    <w:rsid w:val="005B36B4"/>
    <w:rsid w:val="005D17A3"/>
    <w:rsid w:val="005D4A27"/>
    <w:rsid w:val="005D7123"/>
    <w:rsid w:val="005F48AA"/>
    <w:rsid w:val="005F4E22"/>
    <w:rsid w:val="00614C6D"/>
    <w:rsid w:val="00617687"/>
    <w:rsid w:val="006631D3"/>
    <w:rsid w:val="006662E2"/>
    <w:rsid w:val="00667C57"/>
    <w:rsid w:val="00676F1C"/>
    <w:rsid w:val="006C015C"/>
    <w:rsid w:val="006C0B64"/>
    <w:rsid w:val="00705787"/>
    <w:rsid w:val="0071102B"/>
    <w:rsid w:val="00711A0C"/>
    <w:rsid w:val="00741B8E"/>
    <w:rsid w:val="00741F22"/>
    <w:rsid w:val="00744A76"/>
    <w:rsid w:val="00753436"/>
    <w:rsid w:val="0078630C"/>
    <w:rsid w:val="00793390"/>
    <w:rsid w:val="007C4C86"/>
    <w:rsid w:val="007F348B"/>
    <w:rsid w:val="00811031"/>
    <w:rsid w:val="0082211C"/>
    <w:rsid w:val="00833BBB"/>
    <w:rsid w:val="00850E2C"/>
    <w:rsid w:val="008612FE"/>
    <w:rsid w:val="00865E6E"/>
    <w:rsid w:val="00884B99"/>
    <w:rsid w:val="008A3F93"/>
    <w:rsid w:val="008A5E17"/>
    <w:rsid w:val="008A6680"/>
    <w:rsid w:val="008B3C48"/>
    <w:rsid w:val="008D38C9"/>
    <w:rsid w:val="00903A0C"/>
    <w:rsid w:val="009178E1"/>
    <w:rsid w:val="0093411F"/>
    <w:rsid w:val="0093757F"/>
    <w:rsid w:val="00945EA2"/>
    <w:rsid w:val="00955608"/>
    <w:rsid w:val="00956D11"/>
    <w:rsid w:val="00973DE1"/>
    <w:rsid w:val="0099726B"/>
    <w:rsid w:val="009A31FA"/>
    <w:rsid w:val="009B373B"/>
    <w:rsid w:val="009E5112"/>
    <w:rsid w:val="00A350B9"/>
    <w:rsid w:val="00A37B9C"/>
    <w:rsid w:val="00A40287"/>
    <w:rsid w:val="00A5100B"/>
    <w:rsid w:val="00A7516A"/>
    <w:rsid w:val="00A7707E"/>
    <w:rsid w:val="00AB48D9"/>
    <w:rsid w:val="00AB7F19"/>
    <w:rsid w:val="00AC2CD2"/>
    <w:rsid w:val="00AE0827"/>
    <w:rsid w:val="00B236B4"/>
    <w:rsid w:val="00B31BDA"/>
    <w:rsid w:val="00B3571B"/>
    <w:rsid w:val="00B37204"/>
    <w:rsid w:val="00B44D1C"/>
    <w:rsid w:val="00B506B3"/>
    <w:rsid w:val="00B555AF"/>
    <w:rsid w:val="00B6596A"/>
    <w:rsid w:val="00B72016"/>
    <w:rsid w:val="00B90DAD"/>
    <w:rsid w:val="00BA14D7"/>
    <w:rsid w:val="00BA291B"/>
    <w:rsid w:val="00BA7556"/>
    <w:rsid w:val="00BB64FA"/>
    <w:rsid w:val="00BE7657"/>
    <w:rsid w:val="00BF2B7B"/>
    <w:rsid w:val="00C05FE2"/>
    <w:rsid w:val="00C26B8F"/>
    <w:rsid w:val="00C57363"/>
    <w:rsid w:val="00C645DF"/>
    <w:rsid w:val="00C650B0"/>
    <w:rsid w:val="00C67082"/>
    <w:rsid w:val="00C910A7"/>
    <w:rsid w:val="00CA44C4"/>
    <w:rsid w:val="00CB43EB"/>
    <w:rsid w:val="00CE0D68"/>
    <w:rsid w:val="00CE3414"/>
    <w:rsid w:val="00CE39FF"/>
    <w:rsid w:val="00CF293F"/>
    <w:rsid w:val="00D021B1"/>
    <w:rsid w:val="00D12F3F"/>
    <w:rsid w:val="00D35F23"/>
    <w:rsid w:val="00D53D16"/>
    <w:rsid w:val="00D71751"/>
    <w:rsid w:val="00DC0DA5"/>
    <w:rsid w:val="00DD5DC6"/>
    <w:rsid w:val="00DE086F"/>
    <w:rsid w:val="00DE1F78"/>
    <w:rsid w:val="00DE346C"/>
    <w:rsid w:val="00E104F5"/>
    <w:rsid w:val="00E21DE5"/>
    <w:rsid w:val="00E36C30"/>
    <w:rsid w:val="00E749D0"/>
    <w:rsid w:val="00E82A4B"/>
    <w:rsid w:val="00E86CD3"/>
    <w:rsid w:val="00E90A82"/>
    <w:rsid w:val="00E96E57"/>
    <w:rsid w:val="00EA61E2"/>
    <w:rsid w:val="00EB6A1C"/>
    <w:rsid w:val="00F21151"/>
    <w:rsid w:val="00F26CD1"/>
    <w:rsid w:val="00F414B0"/>
    <w:rsid w:val="00F44314"/>
    <w:rsid w:val="00F47B9A"/>
    <w:rsid w:val="00F55B46"/>
    <w:rsid w:val="00F84355"/>
    <w:rsid w:val="00FC20BB"/>
    <w:rsid w:val="00FC32B4"/>
    <w:rsid w:val="00FE6CFD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92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3571B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link w:val="HeaderChar"/>
    <w:uiPriority w:val="99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3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2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2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3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2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8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8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/>
    </w:pPr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1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4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5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6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E086F"/>
    <w:rPr>
      <w:rFonts w:ascii="Arial" w:hAnsi="Arial" w:cs="Arial"/>
      <w:b/>
      <w:color w:val="74767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86F"/>
    <w:rPr>
      <w:rFonts w:ascii="Arial" w:hAnsi="Arial" w:cs="Arial"/>
      <w:b/>
      <w:color w:val="747678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3571B"/>
    <w:rPr>
      <w:rFonts w:ascii="Garamond" w:hAnsi="Garamond" w:cs="Arial"/>
      <w:sz w:val="22"/>
    </w:rPr>
  </w:style>
  <w:style w:type="paragraph" w:styleId="Heading1">
    <w:name w:val="heading 1"/>
    <w:basedOn w:val="Normal"/>
    <w:next w:val="BodyText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10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10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10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10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link w:val="HeaderChar"/>
    <w:uiPriority w:val="99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3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2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2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3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2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8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8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9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pPr>
      <w:spacing w:after="200"/>
    </w:pPr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1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4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5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6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E086F"/>
    <w:rPr>
      <w:rFonts w:ascii="Arial" w:hAnsi="Arial" w:cs="Arial"/>
      <w:b/>
      <w:color w:val="74767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086F"/>
    <w:rPr>
      <w:rFonts w:ascii="Arial" w:hAnsi="Arial" w:cs="Arial"/>
      <w:b/>
      <w:color w:val="747678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Grant Thornton">
  <a:themeElements>
    <a:clrScheme name="Grant Thornton">
      <a:dk1>
        <a:sysClr val="windowText" lastClr="000000"/>
      </a:dk1>
      <a:lt1>
        <a:sysClr val="window" lastClr="FFFFFF"/>
      </a:lt1>
      <a:dk2>
        <a:srgbClr val="824BB0"/>
      </a:dk2>
      <a:lt2>
        <a:srgbClr val="747678"/>
      </a:lt2>
      <a:accent1>
        <a:srgbClr val="4F2D7F"/>
      </a:accent1>
      <a:accent2>
        <a:srgbClr val="C30045"/>
      </a:accent2>
      <a:accent3>
        <a:srgbClr val="B1059D"/>
      </a:accent3>
      <a:accent4>
        <a:srgbClr val="006D55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Grant Thornto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eabf6a06-55a6-4b19-8426-4bedff7e76f3">2015-08-25T04:00:00+00:00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9FCA28CC44BD8AC3EA2F2FFBC6" ma:contentTypeVersion="3" ma:contentTypeDescription="Create a new document." ma:contentTypeScope="" ma:versionID="a75a9374bd4bf3962c851e08eaa9df80">
  <xsd:schema xmlns:xsd="http://www.w3.org/2001/XMLSchema" xmlns:xs="http://www.w3.org/2001/XMLSchema" xmlns:p="http://schemas.microsoft.com/office/2006/metadata/properties" xmlns:ns2="eabf6a06-55a6-4b19-8426-4bedff7e76f3" targetNamespace="http://schemas.microsoft.com/office/2006/metadata/properties" ma:root="true" ma:fieldsID="8bfc908d45c0840691eac5812cc85001" ns2:_="">
    <xsd:import namespace="eabf6a06-55a6-4b19-8426-4bedff7e76f3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a06-55a6-4b19-8426-4bedff7e76f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4771A-C351-4434-8D60-16AB007929B8}"/>
</file>

<file path=customXml/itemProps2.xml><?xml version="1.0" encoding="utf-8"?>
<ds:datastoreItem xmlns:ds="http://schemas.openxmlformats.org/officeDocument/2006/customXml" ds:itemID="{ED4BE12F-A09C-48AE-9B7F-B4F6ECFA1841}"/>
</file>

<file path=customXml/itemProps3.xml><?xml version="1.0" encoding="utf-8"?>
<ds:datastoreItem xmlns:ds="http://schemas.openxmlformats.org/officeDocument/2006/customXml" ds:itemID="{6ED20A72-EE0A-4394-B177-2BB77CF5D732}"/>
</file>

<file path=customXml/itemProps4.xml><?xml version="1.0" encoding="utf-8"?>
<ds:datastoreItem xmlns:ds="http://schemas.openxmlformats.org/officeDocument/2006/customXml" ds:itemID="{ACB89124-AA04-4DE5-ADC8-10C362A70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Douek, Mark</dc:creator>
  <cp:lastModifiedBy>Michael Curtis</cp:lastModifiedBy>
  <cp:revision>3</cp:revision>
  <dcterms:created xsi:type="dcterms:W3CDTF">2015-07-06T17:10:00Z</dcterms:created>
  <dcterms:modified xsi:type="dcterms:W3CDTF">2015-07-06T18:06:00Z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0x010100D9A08A9FCA28CC44BD8AC3EA2F2FFBC6</vt:lpwstr>
  </property>
</Properties>
</file>